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594" w14:textId="77777777" w:rsidR="00265A85" w:rsidRPr="008518F5" w:rsidRDefault="00265A85" w:rsidP="005B4561">
      <w:pPr>
        <w:ind w:right="-35"/>
        <w:rPr>
          <w:rFonts w:ascii="Bookman Old Style" w:hAnsi="Bookman Old Style" w:cs="Arial"/>
          <w:b/>
          <w:sz w:val="28"/>
          <w:szCs w:val="28"/>
          <w:lang w:val="el-GR"/>
        </w:rPr>
      </w:pPr>
      <w:bookmarkStart w:id="0" w:name="_GoBack"/>
      <w:bookmarkEnd w:id="0"/>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19F34E47"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r w:rsidRPr="008518F5">
        <w:rPr>
          <w:rFonts w:ascii="Bookman Old Style" w:hAnsi="Bookman Old Style" w:cs="Arial"/>
          <w:b/>
          <w:i/>
          <w:iCs/>
          <w:sz w:val="28"/>
          <w:szCs w:val="28"/>
          <w:lang w:val="el-GR"/>
        </w:rPr>
        <w:t xml:space="preserve">Αρ. </w:t>
      </w:r>
      <w:r w:rsidR="00403265">
        <w:rPr>
          <w:rFonts w:ascii="Bookman Old Style" w:hAnsi="Bookman Old Style" w:cs="Arial"/>
          <w:b/>
          <w:i/>
          <w:iCs/>
          <w:sz w:val="28"/>
          <w:szCs w:val="28"/>
          <w:lang w:val="en-US"/>
        </w:rPr>
        <w:t>E</w:t>
      </w:r>
      <w:r w:rsidR="00403265" w:rsidRPr="001427CF">
        <w:rPr>
          <w:rFonts w:ascii="Bookman Old Style" w:hAnsi="Bookman Old Style" w:cs="Arial"/>
          <w:b/>
          <w:i/>
          <w:iCs/>
          <w:sz w:val="28"/>
          <w:szCs w:val="28"/>
          <w:lang w:val="el-GR"/>
        </w:rPr>
        <w:t>6</w:t>
      </w:r>
      <w:r w:rsidR="002A631C" w:rsidRPr="008518F5">
        <w:rPr>
          <w:rFonts w:ascii="Bookman Old Style" w:hAnsi="Bookman Old Style" w:cs="Arial"/>
          <w:b/>
          <w:i/>
          <w:iCs/>
          <w:sz w:val="28"/>
          <w:szCs w:val="28"/>
          <w:lang w:val="el-GR"/>
        </w:rPr>
        <w:t>1/</w:t>
      </w:r>
      <w:r w:rsidRPr="008518F5">
        <w:rPr>
          <w:rFonts w:ascii="Bookman Old Style" w:hAnsi="Bookman Old Style" w:cs="Arial"/>
          <w:b/>
          <w:i/>
          <w:iCs/>
          <w:sz w:val="28"/>
          <w:szCs w:val="28"/>
          <w:lang w:val="el-GR"/>
        </w:rPr>
        <w:t>201</w:t>
      </w:r>
      <w:r w:rsidR="00403265" w:rsidRPr="001427CF">
        <w:rPr>
          <w:rFonts w:ascii="Bookman Old Style" w:hAnsi="Bookman Old Style" w:cs="Arial"/>
          <w:b/>
          <w:i/>
          <w:iCs/>
          <w:sz w:val="28"/>
          <w:szCs w:val="28"/>
          <w:lang w:val="el-GR"/>
        </w:rPr>
        <w:t>6</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Default="00265A85" w:rsidP="005B4561">
      <w:pPr>
        <w:ind w:right="-35"/>
        <w:jc w:val="center"/>
        <w:rPr>
          <w:rFonts w:ascii="Bookman Old Style" w:hAnsi="Bookman Old Style" w:cs="Arial"/>
          <w:b/>
          <w:sz w:val="28"/>
          <w:szCs w:val="28"/>
          <w:lang w:val="el-GR"/>
        </w:rPr>
      </w:pPr>
    </w:p>
    <w:p w14:paraId="307CED18" w14:textId="77777777" w:rsidR="00541C2E" w:rsidRPr="008518F5" w:rsidRDefault="00541C2E" w:rsidP="005B4561">
      <w:pPr>
        <w:ind w:right="-35"/>
        <w:jc w:val="center"/>
        <w:rPr>
          <w:rFonts w:ascii="Bookman Old Style" w:hAnsi="Bookman Old Style" w:cs="Arial"/>
          <w:b/>
          <w:sz w:val="28"/>
          <w:szCs w:val="28"/>
          <w:lang w:val="el-GR"/>
        </w:rPr>
      </w:pPr>
    </w:p>
    <w:p w14:paraId="46A39EE2" w14:textId="7B6F856D" w:rsidR="00265A85" w:rsidRPr="008518F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5D61C0">
        <w:rPr>
          <w:rFonts w:ascii="Bookman Old Style" w:hAnsi="Bookman Old Style" w:cs="Arial"/>
          <w:b/>
          <w:sz w:val="28"/>
          <w:szCs w:val="28"/>
          <w:lang w:val="el-GR"/>
        </w:rPr>
        <w:t xml:space="preserve">2 Οκτωβρίου, </w:t>
      </w:r>
      <w:r w:rsidRPr="008518F5">
        <w:rPr>
          <w:rFonts w:ascii="Bookman Old Style" w:hAnsi="Bookman Old Style" w:cs="Arial"/>
          <w:b/>
          <w:sz w:val="28"/>
          <w:szCs w:val="28"/>
          <w:lang w:val="el-GR"/>
        </w:rPr>
        <w:t>202</w:t>
      </w:r>
      <w:r w:rsidR="006B3E07" w:rsidRPr="008518F5">
        <w:rPr>
          <w:rFonts w:ascii="Bookman Old Style" w:hAnsi="Bookman Old Style" w:cs="Arial"/>
          <w:b/>
          <w:sz w:val="28"/>
          <w:szCs w:val="28"/>
          <w:lang w:val="el-GR"/>
        </w:rPr>
        <w:t>3</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0BD67DF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Δ/στές]</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14B88A31" w:rsidR="00265A85" w:rsidRPr="008518F5" w:rsidRDefault="001427CF"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ΣΩΤΗΡΑΚΗΣ ΔΙΑΚΟΥΡΤΗΣ</w:t>
      </w:r>
      <w:r w:rsidR="00265A85" w:rsidRPr="008518F5">
        <w:rPr>
          <w:rFonts w:ascii="Bookman Old Style" w:hAnsi="Bookman Old Style" w:cs="Arial"/>
          <w:sz w:val="28"/>
          <w:szCs w:val="28"/>
          <w:lang w:val="el-GR"/>
        </w:rPr>
        <w:t>,</w:t>
      </w:r>
    </w:p>
    <w:p w14:paraId="54EB5619" w14:textId="77777777" w:rsidR="00265A85" w:rsidRPr="008518F5" w:rsidRDefault="00265A85" w:rsidP="005B4561">
      <w:pPr>
        <w:ind w:right="-35"/>
        <w:jc w:val="center"/>
        <w:rPr>
          <w:rFonts w:ascii="Bookman Old Style" w:hAnsi="Bookman Old Style" w:cs="Arial"/>
          <w:sz w:val="28"/>
          <w:szCs w:val="28"/>
          <w:lang w:val="el-GR"/>
        </w:rPr>
      </w:pPr>
    </w:p>
    <w:p w14:paraId="6352D4AC" w14:textId="6E2B9BAD" w:rsidR="00265A85" w:rsidRPr="008518F5" w:rsidRDefault="00904291"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Εφεσείων</w:t>
      </w:r>
      <w:r w:rsidR="00265A85" w:rsidRPr="008518F5">
        <w:rPr>
          <w:rFonts w:ascii="Bookman Old Style" w:hAnsi="Bookman Old Style" w:cs="Arial"/>
          <w:i/>
          <w:iCs/>
          <w:sz w:val="28"/>
          <w:szCs w:val="28"/>
          <w:lang w:val="el-GR"/>
        </w:rPr>
        <w:t>,</w:t>
      </w:r>
    </w:p>
    <w:p w14:paraId="7BB5B148" w14:textId="77777777" w:rsidR="00265A85" w:rsidRPr="008518F5" w:rsidRDefault="00265A85" w:rsidP="005B4561">
      <w:pPr>
        <w:ind w:right="-35"/>
        <w:jc w:val="right"/>
        <w:rPr>
          <w:rFonts w:ascii="Bookman Old Style" w:hAnsi="Bookman Old Style" w:cs="Arial"/>
          <w:i/>
          <w:iCs/>
          <w:sz w:val="28"/>
          <w:szCs w:val="28"/>
          <w:lang w:val="el-GR"/>
        </w:rPr>
      </w:pPr>
    </w:p>
    <w:p w14:paraId="045F1F74" w14:textId="77777777" w:rsidR="00265A85" w:rsidRPr="008518F5" w:rsidRDefault="00265A85" w:rsidP="005B4561">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0466833" w14:textId="77777777" w:rsidR="00265A85" w:rsidRPr="008518F5" w:rsidRDefault="00265A85" w:rsidP="005B4561">
      <w:pPr>
        <w:ind w:right="-35"/>
        <w:jc w:val="center"/>
        <w:rPr>
          <w:rFonts w:ascii="Bookman Old Style" w:hAnsi="Bookman Old Style" w:cs="Arial"/>
          <w:sz w:val="28"/>
          <w:szCs w:val="28"/>
          <w:lang w:val="el-GR"/>
        </w:rPr>
      </w:pPr>
    </w:p>
    <w:p w14:paraId="38185C2C" w14:textId="7DF8F39D" w:rsidR="00265A85" w:rsidRPr="008518F5" w:rsidRDefault="001427CF"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ΣΥΝΕΡΓΑΤΙΚΗΣ ΚΕΝΤΡΙΚΗΣ ΤΡΑΠΕΖΑΣ ΛΤΔ</w:t>
      </w:r>
      <w:r w:rsidR="00265A85" w:rsidRPr="008518F5">
        <w:rPr>
          <w:rFonts w:ascii="Bookman Old Style" w:hAnsi="Bookman Old Style" w:cs="Arial"/>
          <w:sz w:val="28"/>
          <w:szCs w:val="28"/>
          <w:lang w:val="el-GR"/>
        </w:rPr>
        <w:t>,</w:t>
      </w:r>
    </w:p>
    <w:p w14:paraId="1994D030" w14:textId="77777777" w:rsidR="00265A85" w:rsidRPr="008518F5" w:rsidRDefault="00265A85" w:rsidP="005B4561">
      <w:pPr>
        <w:ind w:right="-35"/>
        <w:rPr>
          <w:rFonts w:ascii="Bookman Old Style" w:hAnsi="Bookman Old Style" w:cs="Arial"/>
          <w:sz w:val="28"/>
          <w:szCs w:val="28"/>
          <w:lang w:val="el-GR"/>
        </w:rPr>
      </w:pPr>
    </w:p>
    <w:p w14:paraId="7D0390DC" w14:textId="78FA6C78" w:rsidR="00265A85" w:rsidRPr="008518F5" w:rsidRDefault="00265A85"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1427CF">
        <w:rPr>
          <w:rFonts w:ascii="Bookman Old Style" w:hAnsi="Bookman Old Style" w:cs="Arial"/>
          <w:i/>
          <w:iCs/>
          <w:sz w:val="28"/>
          <w:szCs w:val="28"/>
          <w:lang w:val="el-GR"/>
        </w:rPr>
        <w:t>ων</w:t>
      </w:r>
      <w:r w:rsidRPr="008518F5">
        <w:rPr>
          <w:rFonts w:ascii="Bookman Old Style" w:hAnsi="Bookman Old Style" w:cs="Arial"/>
          <w:i/>
          <w:iCs/>
          <w:sz w:val="28"/>
          <w:szCs w:val="28"/>
          <w:lang w:val="el-GR"/>
        </w:rPr>
        <w:t>.</w:t>
      </w:r>
    </w:p>
    <w:p w14:paraId="0CD93672" w14:textId="77777777" w:rsidR="00904291" w:rsidRPr="008518F5" w:rsidRDefault="00904291" w:rsidP="005B4561">
      <w:pPr>
        <w:ind w:right="-35"/>
        <w:jc w:val="right"/>
        <w:rPr>
          <w:rFonts w:ascii="Bookman Old Style" w:hAnsi="Bookman Old Style" w:cs="Arial"/>
          <w:i/>
          <w:iCs/>
          <w:sz w:val="28"/>
          <w:szCs w:val="28"/>
          <w:lang w:val="el-GR"/>
        </w:rPr>
      </w:pPr>
    </w:p>
    <w:p w14:paraId="040A63E6"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1DA70FAD" w14:textId="77777777" w:rsidR="00904291" w:rsidRPr="008518F5" w:rsidRDefault="00904291" w:rsidP="00186474">
      <w:pPr>
        <w:spacing w:line="276" w:lineRule="auto"/>
        <w:ind w:left="397" w:right="-35" w:hanging="113"/>
        <w:jc w:val="both"/>
        <w:rPr>
          <w:rFonts w:ascii="Bookman Old Style" w:hAnsi="Bookman Old Style" w:cs="Arial"/>
          <w:i/>
          <w:iCs/>
          <w:sz w:val="28"/>
          <w:szCs w:val="28"/>
          <w:lang w:val="el-GR"/>
        </w:rPr>
      </w:pPr>
    </w:p>
    <w:p w14:paraId="2D111E44" w14:textId="55595D14" w:rsidR="00265A85" w:rsidRPr="008518F5" w:rsidRDefault="00E10F96" w:rsidP="00186474">
      <w:pPr>
        <w:spacing w:line="276" w:lineRule="auto"/>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 </w:t>
      </w:r>
      <w:r w:rsidR="001427CF">
        <w:rPr>
          <w:rFonts w:ascii="Bookman Old Style" w:hAnsi="Bookman Old Style" w:cs="Arial"/>
          <w:i/>
          <w:iCs/>
          <w:sz w:val="28"/>
          <w:szCs w:val="28"/>
          <w:lang w:val="el-GR"/>
        </w:rPr>
        <w:t xml:space="preserve"> </w:t>
      </w:r>
      <w:r>
        <w:rPr>
          <w:rFonts w:ascii="Bookman Old Style" w:hAnsi="Bookman Old Style" w:cs="Arial"/>
          <w:i/>
          <w:iCs/>
          <w:sz w:val="28"/>
          <w:szCs w:val="28"/>
          <w:lang w:val="el-GR"/>
        </w:rPr>
        <w:t xml:space="preserve">  </w:t>
      </w:r>
      <w:r w:rsidR="001427CF">
        <w:rPr>
          <w:rFonts w:ascii="Bookman Old Style" w:hAnsi="Bookman Old Style" w:cs="Arial"/>
          <w:i/>
          <w:iCs/>
          <w:sz w:val="28"/>
          <w:szCs w:val="28"/>
          <w:lang w:val="el-GR"/>
        </w:rPr>
        <w:t>Εφεσείων παρών προσωπικά</w:t>
      </w:r>
      <w:r w:rsidR="00265A85" w:rsidRPr="008518F5">
        <w:rPr>
          <w:rFonts w:ascii="Bookman Old Style" w:hAnsi="Bookman Old Style" w:cs="Arial"/>
          <w:iCs/>
          <w:sz w:val="28"/>
          <w:szCs w:val="28"/>
          <w:lang w:val="el-GR"/>
        </w:rPr>
        <w:t>.</w:t>
      </w:r>
    </w:p>
    <w:p w14:paraId="04C2D5F2" w14:textId="77777777" w:rsidR="00265A85" w:rsidRPr="008518F5" w:rsidRDefault="00265A85" w:rsidP="00186474">
      <w:pPr>
        <w:spacing w:line="276" w:lineRule="auto"/>
        <w:ind w:left="397" w:right="-35" w:hanging="113"/>
        <w:jc w:val="both"/>
        <w:rPr>
          <w:rFonts w:ascii="Bookman Old Style" w:hAnsi="Bookman Old Style" w:cs="Arial"/>
          <w:iCs/>
          <w:sz w:val="28"/>
          <w:szCs w:val="28"/>
          <w:lang w:val="el-GR"/>
        </w:rPr>
      </w:pPr>
    </w:p>
    <w:p w14:paraId="41966414" w14:textId="2BCF5540" w:rsidR="00265A85" w:rsidRDefault="001427CF" w:rsidP="00186474">
      <w:pPr>
        <w:spacing w:line="276" w:lineRule="auto"/>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Μ. Παπαευσταθίου (κα)</w:t>
      </w:r>
      <w:r w:rsidR="00B87144">
        <w:rPr>
          <w:rFonts w:ascii="Bookman Old Style" w:hAnsi="Bookman Old Style" w:cs="Arial"/>
          <w:i/>
          <w:sz w:val="28"/>
          <w:szCs w:val="28"/>
          <w:lang w:val="el-GR"/>
        </w:rPr>
        <w:t xml:space="preserve"> με Στ. Φυλακτού (κα)</w:t>
      </w:r>
      <w:r>
        <w:rPr>
          <w:rFonts w:ascii="Bookman Old Style" w:hAnsi="Bookman Old Style" w:cs="Arial"/>
          <w:i/>
          <w:sz w:val="28"/>
          <w:szCs w:val="28"/>
          <w:lang w:val="el-GR"/>
        </w:rPr>
        <w:t>, για Τάσσος Παπαδόπουλος και Συνεργάτες ΔΕΠΕ</w:t>
      </w:r>
      <w:r w:rsidRPr="001427CF">
        <w:rPr>
          <w:rFonts w:ascii="Bookman Old Style" w:hAnsi="Bookman Old Style" w:cs="Arial"/>
          <w:iCs/>
          <w:sz w:val="28"/>
          <w:szCs w:val="28"/>
          <w:lang w:val="el-GR"/>
        </w:rPr>
        <w:t>,</w:t>
      </w:r>
      <w:r>
        <w:rPr>
          <w:rFonts w:ascii="Bookman Old Style" w:hAnsi="Bookman Old Style" w:cs="Arial"/>
          <w:i/>
          <w:sz w:val="28"/>
          <w:szCs w:val="28"/>
          <w:lang w:val="el-GR"/>
        </w:rPr>
        <w:t xml:space="preserve"> </w:t>
      </w:r>
      <w:r w:rsidR="00265A85" w:rsidRPr="008518F5">
        <w:rPr>
          <w:rFonts w:ascii="Bookman Old Style" w:hAnsi="Bookman Old Style" w:cs="Arial"/>
          <w:sz w:val="28"/>
          <w:szCs w:val="28"/>
          <w:lang w:val="el-GR"/>
        </w:rPr>
        <w:t>για το</w:t>
      </w:r>
      <w:r>
        <w:rPr>
          <w:rFonts w:ascii="Bookman Old Style" w:hAnsi="Bookman Old Style" w:cs="Arial"/>
          <w:sz w:val="28"/>
          <w:szCs w:val="28"/>
          <w:lang w:val="el-GR"/>
        </w:rPr>
        <w:t>υς</w:t>
      </w:r>
      <w:r w:rsidR="00265A85" w:rsidRPr="008518F5">
        <w:rPr>
          <w:rFonts w:ascii="Bookman Old Style" w:hAnsi="Bookman Old Style" w:cs="Arial"/>
          <w:sz w:val="28"/>
          <w:szCs w:val="28"/>
          <w:lang w:val="el-GR"/>
        </w:rPr>
        <w:t xml:space="preserve"> Εφεσίβλητο</w:t>
      </w:r>
      <w:r>
        <w:rPr>
          <w:rFonts w:ascii="Bookman Old Style" w:hAnsi="Bookman Old Style" w:cs="Arial"/>
          <w:sz w:val="28"/>
          <w:szCs w:val="28"/>
          <w:lang w:val="el-GR"/>
        </w:rPr>
        <w:t>υς</w:t>
      </w:r>
      <w:r w:rsidR="00265A85" w:rsidRPr="008518F5">
        <w:rPr>
          <w:rFonts w:ascii="Bookman Old Style" w:hAnsi="Bookman Old Style" w:cs="Arial"/>
          <w:iCs/>
          <w:sz w:val="28"/>
          <w:szCs w:val="28"/>
          <w:lang w:val="el-GR"/>
        </w:rPr>
        <w:t>.</w:t>
      </w:r>
    </w:p>
    <w:p w14:paraId="7D764864" w14:textId="77777777" w:rsidR="00541C2E" w:rsidRDefault="00541C2E" w:rsidP="00186474">
      <w:pPr>
        <w:spacing w:line="276" w:lineRule="auto"/>
        <w:ind w:left="397" w:right="-35" w:hanging="113"/>
        <w:jc w:val="both"/>
        <w:rPr>
          <w:rFonts w:ascii="Bookman Old Style" w:hAnsi="Bookman Old Style" w:cs="Arial"/>
          <w:iCs/>
          <w:sz w:val="28"/>
          <w:szCs w:val="28"/>
          <w:u w:val="thick"/>
          <w:lang w:val="el-GR"/>
        </w:rPr>
      </w:pPr>
    </w:p>
    <w:p w14:paraId="637A39BE" w14:textId="4ED3B70A" w:rsidR="00541C2E" w:rsidRPr="00541C2E" w:rsidRDefault="00541C2E" w:rsidP="00186474">
      <w:pPr>
        <w:spacing w:line="276" w:lineRule="auto"/>
        <w:ind w:left="397" w:right="-35" w:hanging="113"/>
        <w:jc w:val="both"/>
        <w:rPr>
          <w:rFonts w:ascii="Bookman Old Style" w:hAnsi="Bookman Old Style" w:cs="Arial"/>
          <w:iCs/>
          <w:sz w:val="28"/>
          <w:szCs w:val="28"/>
          <w:u w:val="thick"/>
          <w:lang w:val="el-GR"/>
        </w:rPr>
      </w:pPr>
      <w:r>
        <w:rPr>
          <w:rFonts w:ascii="Bookman Old Style" w:hAnsi="Bookman Old Style" w:cs="Arial"/>
          <w:iCs/>
          <w:sz w:val="28"/>
          <w:szCs w:val="28"/>
          <w:u w:val="thick"/>
          <w:lang w:val="el-GR"/>
        </w:rPr>
        <w:t>___________________________________________________________________</w:t>
      </w:r>
    </w:p>
    <w:p w14:paraId="418A31D3" w14:textId="77777777" w:rsidR="00904291" w:rsidRPr="008518F5" w:rsidRDefault="00904291" w:rsidP="00186474">
      <w:pPr>
        <w:spacing w:line="276" w:lineRule="auto"/>
        <w:ind w:left="397" w:right="-35" w:hanging="113"/>
        <w:jc w:val="both"/>
        <w:rPr>
          <w:rFonts w:ascii="Bookman Old Style" w:hAnsi="Bookman Old Style" w:cs="Arial"/>
          <w:iCs/>
          <w:sz w:val="28"/>
          <w:szCs w:val="28"/>
          <w:lang w:val="el-GR"/>
        </w:rPr>
      </w:pPr>
    </w:p>
    <w:p w14:paraId="5225F1E7" w14:textId="62ACD69A" w:rsidR="00E544DA" w:rsidRPr="008518F5"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6537503B" w14:textId="77777777" w:rsidR="00541C2E" w:rsidRDefault="00541C2E" w:rsidP="005B4561">
      <w:pPr>
        <w:pBdr>
          <w:bottom w:val="single" w:sz="12" w:space="1" w:color="auto"/>
        </w:pBdr>
        <w:spacing w:line="360" w:lineRule="auto"/>
        <w:ind w:right="-35"/>
        <w:jc w:val="center"/>
        <w:rPr>
          <w:rFonts w:ascii="Bookman Old Style" w:hAnsi="Bookman Old Style" w:cs="Arial"/>
          <w:b/>
          <w:bCs/>
          <w:caps/>
          <w:sz w:val="36"/>
          <w:szCs w:val="36"/>
          <w:u w:val="thick"/>
          <w:lang w:val="el-GR"/>
        </w:rPr>
      </w:pPr>
    </w:p>
    <w:p w14:paraId="60D4587C" w14:textId="77777777" w:rsidR="00541C2E" w:rsidRDefault="00541C2E" w:rsidP="005B4561">
      <w:pPr>
        <w:spacing w:line="360" w:lineRule="auto"/>
        <w:ind w:right="-35"/>
        <w:jc w:val="center"/>
        <w:rPr>
          <w:rFonts w:ascii="Bookman Old Style" w:hAnsi="Bookman Old Style" w:cs="Arial"/>
          <w:b/>
          <w:bCs/>
          <w:caps/>
          <w:sz w:val="36"/>
          <w:szCs w:val="36"/>
          <w:u w:val="thick"/>
          <w:lang w:val="el-GR"/>
        </w:rPr>
      </w:pPr>
    </w:p>
    <w:p w14:paraId="21CB534D" w14:textId="160DC21A"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lastRenderedPageBreak/>
        <w:t>Α Π Ο Φ Α Σ Η</w:t>
      </w:r>
    </w:p>
    <w:p w14:paraId="10476C3F" w14:textId="77777777" w:rsidR="00265A85" w:rsidRDefault="00265A85" w:rsidP="005B4561">
      <w:pPr>
        <w:tabs>
          <w:tab w:val="left" w:pos="624"/>
        </w:tabs>
        <w:ind w:left="681" w:right="-35" w:hanging="397"/>
        <w:jc w:val="both"/>
        <w:rPr>
          <w:rFonts w:ascii="Bookman Old Style" w:hAnsi="Bookman Old Style" w:cs="Arial"/>
          <w:b/>
          <w:bCs/>
          <w:sz w:val="28"/>
          <w:szCs w:val="28"/>
          <w:lang w:val="el-GR"/>
        </w:rPr>
      </w:pPr>
    </w:p>
    <w:p w14:paraId="1A908658" w14:textId="77777777" w:rsidR="00A96EBC" w:rsidRPr="008518F5" w:rsidRDefault="00A96EBC" w:rsidP="005B4561">
      <w:pPr>
        <w:tabs>
          <w:tab w:val="left" w:pos="624"/>
        </w:tabs>
        <w:ind w:left="681" w:right="-35" w:hanging="397"/>
        <w:jc w:val="both"/>
        <w:rPr>
          <w:rFonts w:ascii="Bookman Old Style" w:hAnsi="Bookman Old Style" w:cs="Arial"/>
          <w:b/>
          <w:bCs/>
          <w:sz w:val="28"/>
          <w:szCs w:val="28"/>
          <w:lang w:val="el-GR"/>
        </w:rPr>
      </w:pPr>
    </w:p>
    <w:p w14:paraId="507356CC" w14:textId="7F9EC9FE" w:rsidR="00422938" w:rsidRDefault="00422938" w:rsidP="0040326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403265">
        <w:rPr>
          <w:rFonts w:ascii="Bookman Old Style" w:hAnsi="Bookman Old Style" w:cs="Arial"/>
          <w:sz w:val="28"/>
          <w:szCs w:val="28"/>
          <w:lang w:val="el-GR"/>
        </w:rPr>
        <w:t xml:space="preserve">Στις 7/11/2012 οι Εφεσίβλητοι/Αιτητές καταχώρισαν, στο πλαίσιο της Γενικής Αίτησης αρ. 161/2013 του Επαρχιακού Δικαστηρίου Λεμεσού, αίτηση για εγγραφή διαιτητικής απόφασης, μεταξύ άλλων, και εναντίον του Εφεσείοντα. Το Επαρχιακό Δικαστήριο εξέδωσε διάταγμα για εγγραφή και εκτέλεση της διαιτητικής απόφασης στις 29/3/2013. Στις 3/4/2015, δύο χρόνια μετά την έκδοση του διατάγματος εγγραφής και εκτέλεσης της διαιτητικής απόφασης, ο Εφεσείων καταχώρισε αίτηση για παραμερισμό του εν λόγω διατάγματος, ισχυριζόμενος ότι ο ίδιος πληροφορήθηκε για την ύπαρξη του στις 13/5/2014. </w:t>
      </w:r>
    </w:p>
    <w:p w14:paraId="76C0939E" w14:textId="77777777" w:rsidR="00403265" w:rsidRDefault="00403265" w:rsidP="00403265">
      <w:pPr>
        <w:spacing w:line="480" w:lineRule="auto"/>
        <w:ind w:right="-35"/>
        <w:jc w:val="both"/>
        <w:rPr>
          <w:rFonts w:ascii="Bookman Old Style" w:hAnsi="Bookman Old Style" w:cs="Arial"/>
          <w:sz w:val="28"/>
          <w:szCs w:val="28"/>
          <w:lang w:val="el-GR"/>
        </w:rPr>
      </w:pPr>
    </w:p>
    <w:p w14:paraId="7F18D2B0" w14:textId="71CDCA67" w:rsidR="00403265" w:rsidRDefault="00403265" w:rsidP="0040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αίτηση του προσέκρουσε στην ένσταση των Εφεσιβλήτων και εν</w:t>
      </w:r>
      <w:r w:rsidR="00D82401">
        <w:rPr>
          <w:rFonts w:ascii="Bookman Old Style" w:hAnsi="Bookman Old Style" w:cs="Arial"/>
          <w:sz w:val="28"/>
          <w:szCs w:val="28"/>
          <w:lang w:val="el-GR"/>
        </w:rPr>
        <w:t xml:space="preserve"> </w:t>
      </w:r>
      <w:r>
        <w:rPr>
          <w:rFonts w:ascii="Bookman Old Style" w:hAnsi="Bookman Old Style" w:cs="Arial"/>
          <w:sz w:val="28"/>
          <w:szCs w:val="28"/>
          <w:lang w:val="el-GR"/>
        </w:rPr>
        <w:t>τέλει, κατόπιν ακρόασης, το πρωτόδικο Δικαστήριο την απέρριψε με το αιτιολογικό ότι ο Εφεσείων απέτυχε να πείσει ότι έχει εκ πρώτης όψεως συζητήσιμη υπεράσπιση, ενώ</w:t>
      </w:r>
      <w:r w:rsidR="00D82401">
        <w:rPr>
          <w:rFonts w:ascii="Bookman Old Style" w:hAnsi="Bookman Old Style" w:cs="Arial"/>
          <w:sz w:val="28"/>
          <w:szCs w:val="28"/>
          <w:lang w:val="el-GR"/>
        </w:rPr>
        <w:t>,</w:t>
      </w:r>
      <w:r>
        <w:rPr>
          <w:rFonts w:ascii="Bookman Old Style" w:hAnsi="Bookman Old Style" w:cs="Arial"/>
          <w:sz w:val="28"/>
          <w:szCs w:val="28"/>
          <w:lang w:val="el-GR"/>
        </w:rPr>
        <w:t xml:space="preserve"> καθόσον αφορά το ζήτημα της επίδοσης</w:t>
      </w:r>
      <w:r w:rsidR="00D82401">
        <w:rPr>
          <w:rFonts w:ascii="Bookman Old Style" w:hAnsi="Bookman Old Style" w:cs="Arial"/>
          <w:sz w:val="28"/>
          <w:szCs w:val="28"/>
          <w:lang w:val="el-GR"/>
        </w:rPr>
        <w:t>,</w:t>
      </w:r>
      <w:r>
        <w:rPr>
          <w:rFonts w:ascii="Bookman Old Style" w:hAnsi="Bookman Old Style" w:cs="Arial"/>
          <w:sz w:val="28"/>
          <w:szCs w:val="28"/>
          <w:lang w:val="el-GR"/>
        </w:rPr>
        <w:t xml:space="preserve"> απεφάνθη ότι</w:t>
      </w:r>
      <w:r w:rsidR="0065535A">
        <w:rPr>
          <w:rFonts w:ascii="Bookman Old Style" w:hAnsi="Bookman Old Style" w:cs="Arial"/>
          <w:sz w:val="28"/>
          <w:szCs w:val="28"/>
          <w:lang w:val="el-GR"/>
        </w:rPr>
        <w:t>, με δεδομένο ότι έγινε σε ενήλικο μέλος της οικογένειας του που διαμένει στην πόλη του,</w:t>
      </w:r>
      <w:r>
        <w:rPr>
          <w:rFonts w:ascii="Bookman Old Style" w:hAnsi="Bookman Old Style" w:cs="Arial"/>
          <w:sz w:val="28"/>
          <w:szCs w:val="28"/>
          <w:lang w:val="el-GR"/>
        </w:rPr>
        <w:t xml:space="preserve"> αυτή ήταν νομότυπη.</w:t>
      </w:r>
    </w:p>
    <w:p w14:paraId="056A8588" w14:textId="77777777" w:rsidR="00767EE1" w:rsidRDefault="00767EE1" w:rsidP="00403265">
      <w:pPr>
        <w:spacing w:line="480" w:lineRule="auto"/>
        <w:ind w:right="-35"/>
        <w:jc w:val="both"/>
        <w:rPr>
          <w:rFonts w:ascii="Bookman Old Style" w:hAnsi="Bookman Old Style" w:cs="Arial"/>
          <w:sz w:val="28"/>
          <w:szCs w:val="28"/>
          <w:lang w:val="el-GR"/>
        </w:rPr>
      </w:pPr>
    </w:p>
    <w:p w14:paraId="4B1CFA8F" w14:textId="07381986" w:rsidR="00403265" w:rsidRDefault="00403265" w:rsidP="0040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αντίδραση του Εφεσείοντα στην απόρριψη της αίτησης για παραμερισμό του επίδικου διατάγματος, εκδηλώθηκε με την καταχώριση της υπό κρίση Έφεσης. </w:t>
      </w:r>
    </w:p>
    <w:p w14:paraId="6FDBBC6E" w14:textId="77777777" w:rsidR="00A96EBC" w:rsidRDefault="00A96EBC" w:rsidP="00403265">
      <w:pPr>
        <w:spacing w:line="480" w:lineRule="auto"/>
        <w:ind w:right="-35"/>
        <w:jc w:val="both"/>
        <w:rPr>
          <w:rFonts w:ascii="Bookman Old Style" w:hAnsi="Bookman Old Style" w:cs="Arial"/>
          <w:sz w:val="28"/>
          <w:szCs w:val="28"/>
          <w:lang w:val="el-GR"/>
        </w:rPr>
      </w:pPr>
    </w:p>
    <w:p w14:paraId="2838C1FE" w14:textId="3D34B8B8" w:rsidR="00403265" w:rsidRDefault="00403265" w:rsidP="0040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Σε αυτή διατείνεται ότι </w:t>
      </w:r>
      <w:r w:rsidR="003C01BC">
        <w:rPr>
          <w:rFonts w:ascii="Bookman Old Style" w:hAnsi="Bookman Old Style" w:cs="Arial"/>
          <w:sz w:val="28"/>
          <w:szCs w:val="28"/>
          <w:lang w:val="el-GR"/>
        </w:rPr>
        <w:t>εσφαλμένα κρίθηκε ο Χαράλαμπος Διακουρτής (Καθ’ου η Αίτηση 1) μέλος της οικογένειας του Εφεσείοντα (</w:t>
      </w:r>
      <w:r w:rsidR="003C01BC" w:rsidRPr="003C01BC">
        <w:rPr>
          <w:rFonts w:ascii="Bookman Old Style" w:hAnsi="Bookman Old Style" w:cs="Arial"/>
          <w:b/>
          <w:bCs/>
          <w:sz w:val="28"/>
          <w:szCs w:val="28"/>
          <w:lang w:val="el-GR"/>
        </w:rPr>
        <w:t>1</w:t>
      </w:r>
      <w:r w:rsidR="003C01BC" w:rsidRPr="003C01BC">
        <w:rPr>
          <w:rFonts w:ascii="Bookman Old Style" w:hAnsi="Bookman Old Style" w:cs="Arial"/>
          <w:b/>
          <w:bCs/>
          <w:sz w:val="28"/>
          <w:szCs w:val="28"/>
          <w:vertAlign w:val="superscript"/>
          <w:lang w:val="el-GR"/>
        </w:rPr>
        <w:t>ος</w:t>
      </w:r>
      <w:r w:rsidR="003C01BC" w:rsidRPr="003C01BC">
        <w:rPr>
          <w:rFonts w:ascii="Bookman Old Style" w:hAnsi="Bookman Old Style" w:cs="Arial"/>
          <w:b/>
          <w:bCs/>
          <w:sz w:val="28"/>
          <w:szCs w:val="28"/>
          <w:lang w:val="el-GR"/>
        </w:rPr>
        <w:t xml:space="preserve"> Λόγος Έφεσης</w:t>
      </w:r>
      <w:r w:rsidR="003C01BC">
        <w:rPr>
          <w:rFonts w:ascii="Bookman Old Style" w:hAnsi="Bookman Old Style" w:cs="Arial"/>
          <w:sz w:val="28"/>
          <w:szCs w:val="28"/>
          <w:lang w:val="el-GR"/>
        </w:rPr>
        <w:t>), ότι η επίδοση έγινε νομότυπα (</w:t>
      </w:r>
      <w:r w:rsidR="003C01BC">
        <w:rPr>
          <w:rFonts w:ascii="Bookman Old Style" w:hAnsi="Bookman Old Style" w:cs="Arial"/>
          <w:b/>
          <w:bCs/>
          <w:sz w:val="28"/>
          <w:szCs w:val="28"/>
          <w:lang w:val="el-GR"/>
        </w:rPr>
        <w:t>2</w:t>
      </w:r>
      <w:r w:rsidR="003C01BC" w:rsidRPr="003C01BC">
        <w:rPr>
          <w:rFonts w:ascii="Bookman Old Style" w:hAnsi="Bookman Old Style" w:cs="Arial"/>
          <w:b/>
          <w:bCs/>
          <w:sz w:val="28"/>
          <w:szCs w:val="28"/>
          <w:vertAlign w:val="superscript"/>
          <w:lang w:val="el-GR"/>
        </w:rPr>
        <w:t>ος</w:t>
      </w:r>
      <w:r w:rsidR="003C01BC">
        <w:rPr>
          <w:rFonts w:ascii="Bookman Old Style" w:hAnsi="Bookman Old Style" w:cs="Arial"/>
          <w:b/>
          <w:bCs/>
          <w:sz w:val="28"/>
          <w:szCs w:val="28"/>
          <w:lang w:val="el-GR"/>
        </w:rPr>
        <w:t xml:space="preserve"> Λόγος Έφεσης</w:t>
      </w:r>
      <w:r w:rsidR="003C01BC">
        <w:rPr>
          <w:rFonts w:ascii="Bookman Old Style" w:hAnsi="Bookman Old Style" w:cs="Arial"/>
          <w:sz w:val="28"/>
          <w:szCs w:val="28"/>
          <w:lang w:val="el-GR"/>
        </w:rPr>
        <w:t>), όπως και η διαιτητική διαδικασία (</w:t>
      </w:r>
      <w:r w:rsidR="003C01BC">
        <w:rPr>
          <w:rFonts w:ascii="Bookman Old Style" w:hAnsi="Bookman Old Style" w:cs="Arial"/>
          <w:b/>
          <w:bCs/>
          <w:sz w:val="28"/>
          <w:szCs w:val="28"/>
          <w:lang w:val="el-GR"/>
        </w:rPr>
        <w:t>3</w:t>
      </w:r>
      <w:r w:rsidR="003C01BC" w:rsidRPr="003C01BC">
        <w:rPr>
          <w:rFonts w:ascii="Bookman Old Style" w:hAnsi="Bookman Old Style" w:cs="Arial"/>
          <w:b/>
          <w:bCs/>
          <w:sz w:val="28"/>
          <w:szCs w:val="28"/>
          <w:vertAlign w:val="superscript"/>
          <w:lang w:val="el-GR"/>
        </w:rPr>
        <w:t>ος</w:t>
      </w:r>
      <w:r w:rsidR="003C01BC">
        <w:rPr>
          <w:rFonts w:ascii="Bookman Old Style" w:hAnsi="Bookman Old Style" w:cs="Arial"/>
          <w:b/>
          <w:bCs/>
          <w:sz w:val="28"/>
          <w:szCs w:val="28"/>
          <w:lang w:val="el-GR"/>
        </w:rPr>
        <w:t xml:space="preserve"> Λόγος Έφεσης</w:t>
      </w:r>
      <w:r w:rsidR="003C01BC">
        <w:rPr>
          <w:rFonts w:ascii="Bookman Old Style" w:hAnsi="Bookman Old Style" w:cs="Arial"/>
          <w:sz w:val="28"/>
          <w:szCs w:val="28"/>
          <w:lang w:val="el-GR"/>
        </w:rPr>
        <w:t xml:space="preserve">), καθώς και ότι εσφαλμένα το πρωτόδικο Δικαστήριο δεν προχώρησε σε παραμερισμό της απόφασης </w:t>
      </w:r>
      <w:r w:rsidR="003C01BC">
        <w:rPr>
          <w:rFonts w:ascii="Bookman Old Style" w:hAnsi="Bookman Old Style" w:cs="Arial"/>
          <w:sz w:val="28"/>
          <w:szCs w:val="28"/>
          <w:lang w:val="en-US"/>
        </w:rPr>
        <w:t>ex</w:t>
      </w:r>
      <w:r w:rsidR="003C01BC" w:rsidRPr="003C01BC">
        <w:rPr>
          <w:rFonts w:ascii="Bookman Old Style" w:hAnsi="Bookman Old Style" w:cs="Arial"/>
          <w:sz w:val="28"/>
          <w:szCs w:val="28"/>
          <w:lang w:val="el-GR"/>
        </w:rPr>
        <w:t xml:space="preserve"> </w:t>
      </w:r>
      <w:r w:rsidR="003C01BC">
        <w:rPr>
          <w:rFonts w:ascii="Bookman Old Style" w:hAnsi="Bookman Old Style" w:cs="Arial"/>
          <w:sz w:val="28"/>
          <w:szCs w:val="28"/>
          <w:lang w:val="en-US"/>
        </w:rPr>
        <w:t>debito</w:t>
      </w:r>
      <w:r w:rsidR="003C01BC" w:rsidRPr="003C01BC">
        <w:rPr>
          <w:rFonts w:ascii="Bookman Old Style" w:hAnsi="Bookman Old Style" w:cs="Arial"/>
          <w:sz w:val="28"/>
          <w:szCs w:val="28"/>
          <w:lang w:val="el-GR"/>
        </w:rPr>
        <w:t xml:space="preserve"> </w:t>
      </w:r>
      <w:r w:rsidR="003C01BC">
        <w:rPr>
          <w:rFonts w:ascii="Bookman Old Style" w:hAnsi="Bookman Old Style" w:cs="Arial"/>
          <w:sz w:val="28"/>
          <w:szCs w:val="28"/>
          <w:lang w:val="en-US"/>
        </w:rPr>
        <w:t>justitiae</w:t>
      </w:r>
      <w:r w:rsidR="003C01BC">
        <w:rPr>
          <w:rFonts w:ascii="Bookman Old Style" w:hAnsi="Bookman Old Style" w:cs="Arial"/>
          <w:sz w:val="28"/>
          <w:szCs w:val="28"/>
          <w:lang w:val="el-GR"/>
        </w:rPr>
        <w:t xml:space="preserve"> (</w:t>
      </w:r>
      <w:r w:rsidR="003C01BC">
        <w:rPr>
          <w:rFonts w:ascii="Bookman Old Style" w:hAnsi="Bookman Old Style" w:cs="Arial"/>
          <w:b/>
          <w:bCs/>
          <w:sz w:val="28"/>
          <w:szCs w:val="28"/>
          <w:lang w:val="el-GR"/>
        </w:rPr>
        <w:t>8</w:t>
      </w:r>
      <w:r w:rsidR="003C01BC" w:rsidRPr="003C01BC">
        <w:rPr>
          <w:rFonts w:ascii="Bookman Old Style" w:hAnsi="Bookman Old Style" w:cs="Arial"/>
          <w:b/>
          <w:bCs/>
          <w:sz w:val="28"/>
          <w:szCs w:val="28"/>
          <w:vertAlign w:val="superscript"/>
          <w:lang w:val="el-GR"/>
        </w:rPr>
        <w:t>ος</w:t>
      </w:r>
      <w:r w:rsidR="003C01BC">
        <w:rPr>
          <w:rFonts w:ascii="Bookman Old Style" w:hAnsi="Bookman Old Style" w:cs="Arial"/>
          <w:b/>
          <w:bCs/>
          <w:sz w:val="28"/>
          <w:szCs w:val="28"/>
          <w:lang w:val="el-GR"/>
        </w:rPr>
        <w:t xml:space="preserve"> Λόγος Έφεσης</w:t>
      </w:r>
      <w:r w:rsidR="003C01BC">
        <w:rPr>
          <w:rFonts w:ascii="Bookman Old Style" w:hAnsi="Bookman Old Style" w:cs="Arial"/>
          <w:sz w:val="28"/>
          <w:szCs w:val="28"/>
          <w:lang w:val="el-GR"/>
        </w:rPr>
        <w:t>). Επίσης, ο Εφεσείων προβάλλει ότι εσφαλμένα κρίθηκε ότι δεν υπήρχε συζητήσιμη υπεράσπιση</w:t>
      </w:r>
      <w:r w:rsidR="00D73846">
        <w:rPr>
          <w:rFonts w:ascii="Bookman Old Style" w:hAnsi="Bookman Old Style" w:cs="Arial"/>
          <w:sz w:val="28"/>
          <w:szCs w:val="28"/>
          <w:lang w:val="el-GR"/>
        </w:rPr>
        <w:t xml:space="preserve"> (</w:t>
      </w:r>
      <w:r w:rsidR="00D73846">
        <w:rPr>
          <w:rFonts w:ascii="Bookman Old Style" w:hAnsi="Bookman Old Style" w:cs="Arial"/>
          <w:b/>
          <w:bCs/>
          <w:sz w:val="28"/>
          <w:szCs w:val="28"/>
          <w:lang w:val="el-GR"/>
        </w:rPr>
        <w:t>4</w:t>
      </w:r>
      <w:r w:rsidR="00D73846" w:rsidRPr="00D73846">
        <w:rPr>
          <w:rFonts w:ascii="Bookman Old Style" w:hAnsi="Bookman Old Style" w:cs="Arial"/>
          <w:b/>
          <w:bCs/>
          <w:sz w:val="28"/>
          <w:szCs w:val="28"/>
          <w:vertAlign w:val="superscript"/>
          <w:lang w:val="el-GR"/>
        </w:rPr>
        <w:t>ος</w:t>
      </w:r>
      <w:r w:rsidR="00D73846">
        <w:rPr>
          <w:rFonts w:ascii="Bookman Old Style" w:hAnsi="Bookman Old Style" w:cs="Arial"/>
          <w:b/>
          <w:bCs/>
          <w:sz w:val="28"/>
          <w:szCs w:val="28"/>
          <w:lang w:val="el-GR"/>
        </w:rPr>
        <w:t xml:space="preserve"> Λόγος Έφεσης</w:t>
      </w:r>
      <w:r w:rsidR="00D73846">
        <w:rPr>
          <w:rFonts w:ascii="Bookman Old Style" w:hAnsi="Bookman Old Style" w:cs="Arial"/>
          <w:sz w:val="28"/>
          <w:szCs w:val="28"/>
          <w:lang w:val="el-GR"/>
        </w:rPr>
        <w:t>), ότι λανθασμένα κρίθηκε ότι εισπράχθηκε το ποσό του δανείου νόμιμα (</w:t>
      </w:r>
      <w:r w:rsidR="00D73846">
        <w:rPr>
          <w:rFonts w:ascii="Bookman Old Style" w:hAnsi="Bookman Old Style" w:cs="Arial"/>
          <w:b/>
          <w:bCs/>
          <w:sz w:val="28"/>
          <w:szCs w:val="28"/>
          <w:lang w:val="el-GR"/>
        </w:rPr>
        <w:t>5</w:t>
      </w:r>
      <w:r w:rsidR="00D73846" w:rsidRPr="00D73846">
        <w:rPr>
          <w:rFonts w:ascii="Bookman Old Style" w:hAnsi="Bookman Old Style" w:cs="Arial"/>
          <w:b/>
          <w:bCs/>
          <w:sz w:val="28"/>
          <w:szCs w:val="28"/>
          <w:vertAlign w:val="superscript"/>
          <w:lang w:val="el-GR"/>
        </w:rPr>
        <w:t>ος</w:t>
      </w:r>
      <w:r w:rsidR="00D73846">
        <w:rPr>
          <w:rFonts w:ascii="Bookman Old Style" w:hAnsi="Bookman Old Style" w:cs="Arial"/>
          <w:b/>
          <w:bCs/>
          <w:sz w:val="28"/>
          <w:szCs w:val="28"/>
          <w:lang w:val="el-GR"/>
        </w:rPr>
        <w:t xml:space="preserve"> Λόγος Έφεσης</w:t>
      </w:r>
      <w:r w:rsidR="00D73846">
        <w:rPr>
          <w:rFonts w:ascii="Bookman Old Style" w:hAnsi="Bookman Old Style" w:cs="Arial"/>
          <w:sz w:val="28"/>
          <w:szCs w:val="28"/>
          <w:lang w:val="el-GR"/>
        </w:rPr>
        <w:t>)</w:t>
      </w:r>
      <w:r w:rsidR="007D6E0D">
        <w:rPr>
          <w:rFonts w:ascii="Bookman Old Style" w:hAnsi="Bookman Old Style" w:cs="Arial"/>
          <w:sz w:val="28"/>
          <w:szCs w:val="28"/>
          <w:lang w:val="el-GR"/>
        </w:rPr>
        <w:t xml:space="preserve">, </w:t>
      </w:r>
      <w:r w:rsidR="00D73846">
        <w:rPr>
          <w:rFonts w:ascii="Bookman Old Style" w:hAnsi="Bookman Old Style" w:cs="Arial"/>
          <w:sz w:val="28"/>
          <w:szCs w:val="28"/>
          <w:lang w:val="el-GR"/>
        </w:rPr>
        <w:t>ότι ελέγχθηκε η οικονομική κατάσταση της εταιρείας πριν τη δανειοδότηση (</w:t>
      </w:r>
      <w:r w:rsidR="00D73846">
        <w:rPr>
          <w:rFonts w:ascii="Bookman Old Style" w:hAnsi="Bookman Old Style" w:cs="Arial"/>
          <w:b/>
          <w:bCs/>
          <w:sz w:val="28"/>
          <w:szCs w:val="28"/>
          <w:lang w:val="el-GR"/>
        </w:rPr>
        <w:t>6</w:t>
      </w:r>
      <w:r w:rsidR="00D73846" w:rsidRPr="00D73846">
        <w:rPr>
          <w:rFonts w:ascii="Bookman Old Style" w:hAnsi="Bookman Old Style" w:cs="Arial"/>
          <w:b/>
          <w:bCs/>
          <w:sz w:val="28"/>
          <w:szCs w:val="28"/>
          <w:vertAlign w:val="superscript"/>
          <w:lang w:val="el-GR"/>
        </w:rPr>
        <w:t>ος</w:t>
      </w:r>
      <w:r w:rsidR="00D73846">
        <w:rPr>
          <w:rFonts w:ascii="Bookman Old Style" w:hAnsi="Bookman Old Style" w:cs="Arial"/>
          <w:b/>
          <w:bCs/>
          <w:sz w:val="28"/>
          <w:szCs w:val="28"/>
          <w:lang w:val="el-GR"/>
        </w:rPr>
        <w:t xml:space="preserve"> Λόγος Έφεσης</w:t>
      </w:r>
      <w:r w:rsidR="00D73846">
        <w:rPr>
          <w:rFonts w:ascii="Bookman Old Style" w:hAnsi="Bookman Old Style" w:cs="Arial"/>
          <w:sz w:val="28"/>
          <w:szCs w:val="28"/>
          <w:lang w:val="el-GR"/>
        </w:rPr>
        <w:t>)</w:t>
      </w:r>
      <w:r w:rsidR="007D6E0D">
        <w:rPr>
          <w:rFonts w:ascii="Bookman Old Style" w:hAnsi="Bookman Old Style" w:cs="Arial"/>
          <w:sz w:val="28"/>
          <w:szCs w:val="28"/>
          <w:lang w:val="el-GR"/>
        </w:rPr>
        <w:t xml:space="preserve"> και ότι οι Αιτητές/Εφεσίβλητοι δεν προσήλθαν στο Δικαστήριο με καθαρά χέρια               (</w:t>
      </w:r>
      <w:r w:rsidR="007D6E0D">
        <w:rPr>
          <w:rFonts w:ascii="Bookman Old Style" w:hAnsi="Bookman Old Style" w:cs="Arial"/>
          <w:b/>
          <w:bCs/>
          <w:sz w:val="28"/>
          <w:szCs w:val="28"/>
          <w:lang w:val="el-GR"/>
        </w:rPr>
        <w:t>7</w:t>
      </w:r>
      <w:r w:rsidR="007D6E0D" w:rsidRPr="007D6E0D">
        <w:rPr>
          <w:rFonts w:ascii="Bookman Old Style" w:hAnsi="Bookman Old Style" w:cs="Arial"/>
          <w:b/>
          <w:bCs/>
          <w:sz w:val="28"/>
          <w:szCs w:val="28"/>
          <w:vertAlign w:val="superscript"/>
          <w:lang w:val="el-GR"/>
        </w:rPr>
        <w:t>ος</w:t>
      </w:r>
      <w:r w:rsidR="007D6E0D">
        <w:rPr>
          <w:rFonts w:ascii="Bookman Old Style" w:hAnsi="Bookman Old Style" w:cs="Arial"/>
          <w:b/>
          <w:bCs/>
          <w:sz w:val="28"/>
          <w:szCs w:val="28"/>
          <w:lang w:val="el-GR"/>
        </w:rPr>
        <w:t xml:space="preserve"> Λόγος Έφεσης</w:t>
      </w:r>
      <w:r w:rsidR="007D6E0D">
        <w:rPr>
          <w:rFonts w:ascii="Bookman Old Style" w:hAnsi="Bookman Old Style" w:cs="Arial"/>
          <w:sz w:val="28"/>
          <w:szCs w:val="28"/>
          <w:lang w:val="el-GR"/>
        </w:rPr>
        <w:t>). Προσβάλλεται</w:t>
      </w:r>
      <w:r w:rsidR="00FF2973" w:rsidRPr="00FF2973">
        <w:rPr>
          <w:rFonts w:ascii="Bookman Old Style" w:hAnsi="Bookman Old Style" w:cs="Arial"/>
          <w:sz w:val="28"/>
          <w:szCs w:val="28"/>
          <w:lang w:val="el-GR"/>
        </w:rPr>
        <w:t>,</w:t>
      </w:r>
      <w:r w:rsidR="007D6E0D">
        <w:rPr>
          <w:rFonts w:ascii="Bookman Old Style" w:hAnsi="Bookman Old Style" w:cs="Arial"/>
          <w:sz w:val="28"/>
          <w:szCs w:val="28"/>
          <w:lang w:val="el-GR"/>
        </w:rPr>
        <w:t xml:space="preserve"> επίσης</w:t>
      </w:r>
      <w:r w:rsidR="00FF2973" w:rsidRPr="00FF2973">
        <w:rPr>
          <w:rFonts w:ascii="Bookman Old Style" w:hAnsi="Bookman Old Style" w:cs="Arial"/>
          <w:sz w:val="28"/>
          <w:szCs w:val="28"/>
          <w:lang w:val="el-GR"/>
        </w:rPr>
        <w:t>,</w:t>
      </w:r>
      <w:r w:rsidR="007D6E0D">
        <w:rPr>
          <w:rFonts w:ascii="Bookman Old Style" w:hAnsi="Bookman Old Style" w:cs="Arial"/>
          <w:sz w:val="28"/>
          <w:szCs w:val="28"/>
          <w:lang w:val="el-GR"/>
        </w:rPr>
        <w:t xml:space="preserve"> ως λανθασμένη η κρίση του πρωτόδικου Δικαστηρίου ότι δεν υφίστατο θέμα καταχρηστικών ρητρών και ότι υπήρχε το στοιχείο της γενικότητας και της ασάφειας (</w:t>
      </w:r>
      <w:r w:rsidR="007D6E0D">
        <w:rPr>
          <w:rFonts w:ascii="Bookman Old Style" w:hAnsi="Bookman Old Style" w:cs="Arial"/>
          <w:b/>
          <w:bCs/>
          <w:sz w:val="28"/>
          <w:szCs w:val="28"/>
          <w:lang w:val="el-GR"/>
        </w:rPr>
        <w:t>9</w:t>
      </w:r>
      <w:r w:rsidR="007D6E0D" w:rsidRPr="007D6E0D">
        <w:rPr>
          <w:rFonts w:ascii="Bookman Old Style" w:hAnsi="Bookman Old Style" w:cs="Arial"/>
          <w:b/>
          <w:bCs/>
          <w:sz w:val="28"/>
          <w:szCs w:val="28"/>
          <w:vertAlign w:val="superscript"/>
          <w:lang w:val="el-GR"/>
        </w:rPr>
        <w:t>ος</w:t>
      </w:r>
      <w:r w:rsidR="007D6E0D">
        <w:rPr>
          <w:rFonts w:ascii="Bookman Old Style" w:hAnsi="Bookman Old Style" w:cs="Arial"/>
          <w:b/>
          <w:bCs/>
          <w:sz w:val="28"/>
          <w:szCs w:val="28"/>
          <w:lang w:val="el-GR"/>
        </w:rPr>
        <w:t xml:space="preserve"> Λόγος Έφεσης</w:t>
      </w:r>
      <w:r w:rsidR="007D6E0D">
        <w:rPr>
          <w:rFonts w:ascii="Bookman Old Style" w:hAnsi="Bookman Old Style" w:cs="Arial"/>
          <w:sz w:val="28"/>
          <w:szCs w:val="28"/>
          <w:lang w:val="el-GR"/>
        </w:rPr>
        <w:t xml:space="preserve">). </w:t>
      </w:r>
    </w:p>
    <w:p w14:paraId="53FDF64F" w14:textId="77777777" w:rsidR="00E144B9" w:rsidRDefault="00E144B9" w:rsidP="00403265">
      <w:pPr>
        <w:spacing w:line="480" w:lineRule="auto"/>
        <w:ind w:right="-35"/>
        <w:jc w:val="both"/>
        <w:rPr>
          <w:rFonts w:ascii="Bookman Old Style" w:hAnsi="Bookman Old Style" w:cs="Arial"/>
          <w:sz w:val="28"/>
          <w:szCs w:val="28"/>
          <w:lang w:val="el-GR"/>
        </w:rPr>
      </w:pPr>
    </w:p>
    <w:p w14:paraId="53ECD16F" w14:textId="503C3213" w:rsidR="006D5852" w:rsidRDefault="00E144B9" w:rsidP="0040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Τόσο ο Εφεσείων ο οποίος χειρίστηκε την υπόθεση του προσωπικά</w:t>
      </w:r>
      <w:r w:rsidR="00767EE1">
        <w:rPr>
          <w:rFonts w:ascii="Bookman Old Style" w:hAnsi="Bookman Old Style" w:cs="Arial"/>
          <w:sz w:val="28"/>
          <w:szCs w:val="28"/>
          <w:lang w:val="el-GR"/>
        </w:rPr>
        <w:t>,</w:t>
      </w:r>
      <w:r>
        <w:rPr>
          <w:rFonts w:ascii="Bookman Old Style" w:hAnsi="Bookman Old Style" w:cs="Arial"/>
          <w:sz w:val="28"/>
          <w:szCs w:val="28"/>
          <w:lang w:val="el-GR"/>
        </w:rPr>
        <w:t xml:space="preserve"> όσο και οι</w:t>
      </w:r>
      <w:r w:rsidR="006D5852">
        <w:rPr>
          <w:rFonts w:ascii="Bookman Old Style" w:hAnsi="Bookman Old Style" w:cs="Arial"/>
          <w:sz w:val="28"/>
          <w:szCs w:val="28"/>
          <w:lang w:val="el-GR"/>
        </w:rPr>
        <w:t xml:space="preserve"> ευπαίδευτοι συνήγοροι των </w:t>
      </w:r>
      <w:r>
        <w:rPr>
          <w:rFonts w:ascii="Bookman Old Style" w:hAnsi="Bookman Old Style" w:cs="Arial"/>
          <w:sz w:val="28"/>
          <w:szCs w:val="28"/>
          <w:lang w:val="el-GR"/>
        </w:rPr>
        <w:t>Εφεσιβλήτων,</w:t>
      </w:r>
      <w:r w:rsidR="006D5852">
        <w:rPr>
          <w:rFonts w:ascii="Bookman Old Style" w:hAnsi="Bookman Old Style" w:cs="Arial"/>
          <w:sz w:val="28"/>
          <w:szCs w:val="28"/>
          <w:lang w:val="el-GR"/>
        </w:rPr>
        <w:t xml:space="preserve"> προώθησαν τις εκατέρωθεν θέσεις τους με περιγράμματα αγόρευσης, τα οποία και υιοθέτησαν κατά την επ’ ακροατηρίω συζήτηση της Έφεσης. </w:t>
      </w:r>
    </w:p>
    <w:p w14:paraId="0EC405AC" w14:textId="77777777" w:rsidR="00E144B9" w:rsidRDefault="00E144B9" w:rsidP="00403265">
      <w:pPr>
        <w:spacing w:line="480" w:lineRule="auto"/>
        <w:ind w:right="-35"/>
        <w:jc w:val="both"/>
        <w:rPr>
          <w:rFonts w:ascii="Bookman Old Style" w:hAnsi="Bookman Old Style" w:cs="Arial"/>
          <w:sz w:val="28"/>
          <w:szCs w:val="28"/>
          <w:lang w:val="el-GR"/>
        </w:rPr>
      </w:pPr>
    </w:p>
    <w:p w14:paraId="1260B4E5" w14:textId="0C80D255" w:rsidR="00124EED" w:rsidRDefault="00E144B9" w:rsidP="0040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των </w:t>
      </w:r>
      <w:r w:rsidRPr="00E144B9">
        <w:rPr>
          <w:rFonts w:ascii="Bookman Old Style" w:hAnsi="Bookman Old Style" w:cs="Arial"/>
          <w:b/>
          <w:bCs/>
          <w:sz w:val="28"/>
          <w:szCs w:val="28"/>
          <w:lang w:val="el-GR"/>
        </w:rPr>
        <w:t>Λόγων Έφεσης 1, 2, 3</w:t>
      </w:r>
      <w:r>
        <w:rPr>
          <w:rFonts w:ascii="Bookman Old Style" w:hAnsi="Bookman Old Style" w:cs="Arial"/>
          <w:sz w:val="28"/>
          <w:szCs w:val="28"/>
          <w:lang w:val="el-GR"/>
        </w:rPr>
        <w:t xml:space="preserve"> και </w:t>
      </w:r>
      <w:r w:rsidRPr="00E144B9">
        <w:rPr>
          <w:rFonts w:ascii="Bookman Old Style" w:hAnsi="Bookman Old Style" w:cs="Arial"/>
          <w:b/>
          <w:bCs/>
          <w:sz w:val="28"/>
          <w:szCs w:val="28"/>
          <w:lang w:val="el-GR"/>
        </w:rPr>
        <w:t xml:space="preserve">8 </w:t>
      </w:r>
      <w:r>
        <w:rPr>
          <w:rFonts w:ascii="Bookman Old Style" w:hAnsi="Bookman Old Style" w:cs="Arial"/>
          <w:sz w:val="28"/>
          <w:szCs w:val="28"/>
          <w:lang w:val="el-GR"/>
        </w:rPr>
        <w:t>προσβάλλεται το νομότυπο</w:t>
      </w:r>
      <w:r w:rsidR="00FC7324">
        <w:rPr>
          <w:rFonts w:ascii="Bookman Old Style" w:hAnsi="Bookman Old Style" w:cs="Arial"/>
          <w:sz w:val="28"/>
          <w:szCs w:val="28"/>
          <w:lang w:val="el-GR"/>
        </w:rPr>
        <w:t>, ουσιαστικά,</w:t>
      </w:r>
      <w:r>
        <w:rPr>
          <w:rFonts w:ascii="Bookman Old Style" w:hAnsi="Bookman Old Style" w:cs="Arial"/>
          <w:sz w:val="28"/>
          <w:szCs w:val="28"/>
          <w:lang w:val="el-GR"/>
        </w:rPr>
        <w:t xml:space="preserve"> των επιδόσεων. Ως εκ του αντικειμένου </w:t>
      </w:r>
      <w:r w:rsidR="00EE3C43">
        <w:rPr>
          <w:rFonts w:ascii="Bookman Old Style" w:hAnsi="Bookman Old Style" w:cs="Arial"/>
          <w:sz w:val="28"/>
          <w:szCs w:val="28"/>
          <w:lang w:val="el-GR"/>
        </w:rPr>
        <w:t>τους,</w:t>
      </w:r>
      <w:r>
        <w:rPr>
          <w:rFonts w:ascii="Bookman Old Style" w:hAnsi="Bookman Old Style" w:cs="Arial"/>
          <w:sz w:val="28"/>
          <w:szCs w:val="28"/>
          <w:lang w:val="el-GR"/>
        </w:rPr>
        <w:t xml:space="preserve"> αυτοί θα εξετασθούν σωρευτικώς.</w:t>
      </w:r>
    </w:p>
    <w:p w14:paraId="382517C4" w14:textId="77777777" w:rsidR="00E144B9" w:rsidRDefault="00E144B9" w:rsidP="00403265">
      <w:pPr>
        <w:spacing w:line="480" w:lineRule="auto"/>
        <w:ind w:right="-35"/>
        <w:jc w:val="both"/>
        <w:rPr>
          <w:rFonts w:ascii="Bookman Old Style" w:hAnsi="Bookman Old Style" w:cs="Arial"/>
          <w:sz w:val="28"/>
          <w:szCs w:val="28"/>
          <w:lang w:val="el-GR"/>
        </w:rPr>
      </w:pPr>
    </w:p>
    <w:p w14:paraId="73D59EEE" w14:textId="27DFDE2B" w:rsidR="00457CBF" w:rsidRDefault="00937ED0" w:rsidP="00937ED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Κατ</w:t>
      </w:r>
      <w:r w:rsidR="00767EE1">
        <w:rPr>
          <w:rFonts w:ascii="Bookman Old Style" w:hAnsi="Bookman Old Style" w:cs="Arial"/>
          <w:sz w:val="28"/>
          <w:szCs w:val="28"/>
          <w:lang w:val="el-GR"/>
        </w:rPr>
        <w:t xml:space="preserve">’ </w:t>
      </w:r>
      <w:r>
        <w:rPr>
          <w:rFonts w:ascii="Bookman Old Style" w:hAnsi="Bookman Old Style" w:cs="Arial"/>
          <w:sz w:val="28"/>
          <w:szCs w:val="28"/>
          <w:lang w:val="el-GR"/>
        </w:rPr>
        <w:t>αρχάς να λεχθεί ότι η αναφορά του επιδότη στην ένορκη του δήλωση ότι επέδωσε</w:t>
      </w:r>
      <w:r w:rsidR="00050ACB">
        <w:rPr>
          <w:rFonts w:ascii="Bookman Old Style" w:hAnsi="Bookman Old Style" w:cs="Arial"/>
          <w:sz w:val="28"/>
          <w:szCs w:val="28"/>
          <w:lang w:val="el-GR"/>
        </w:rPr>
        <w:t xml:space="preserve"> στις 16/1/2013</w:t>
      </w:r>
      <w:r>
        <w:rPr>
          <w:rFonts w:ascii="Bookman Old Style" w:hAnsi="Bookman Old Style" w:cs="Arial"/>
          <w:sz w:val="28"/>
          <w:szCs w:val="28"/>
          <w:lang w:val="el-GR"/>
        </w:rPr>
        <w:t xml:space="preserve"> τη γνωστοποίηση για την έκδοση </w:t>
      </w:r>
      <w:bookmarkStart w:id="1" w:name="_Hlk146132195"/>
      <w:r>
        <w:rPr>
          <w:rFonts w:ascii="Bookman Old Style" w:hAnsi="Bookman Old Style" w:cs="Arial"/>
          <w:sz w:val="28"/>
          <w:szCs w:val="28"/>
          <w:lang w:val="el-GR"/>
        </w:rPr>
        <w:t>διαιτητικής απόφασης</w:t>
      </w:r>
      <w:bookmarkEnd w:id="1"/>
      <w:r>
        <w:rPr>
          <w:rFonts w:ascii="Bookman Old Style" w:hAnsi="Bookman Old Style" w:cs="Arial"/>
          <w:sz w:val="28"/>
          <w:szCs w:val="28"/>
          <w:lang w:val="el-GR"/>
        </w:rPr>
        <w:t xml:space="preserve"> ημερ. 7/11/2012 στο </w:t>
      </w:r>
      <w:bookmarkStart w:id="2" w:name="_Hlk146132657"/>
      <w:r>
        <w:rPr>
          <w:rFonts w:ascii="Bookman Old Style" w:hAnsi="Bookman Old Style" w:cs="Arial"/>
          <w:sz w:val="28"/>
          <w:szCs w:val="28"/>
          <w:lang w:val="el-GR"/>
        </w:rPr>
        <w:t>Χαράλαμπο Διακουρτή</w:t>
      </w:r>
      <w:r w:rsidR="00FC7324">
        <w:rPr>
          <w:rFonts w:ascii="Bookman Old Style" w:hAnsi="Bookman Old Style" w:cs="Arial"/>
          <w:sz w:val="28"/>
          <w:szCs w:val="28"/>
          <w:lang w:val="el-GR"/>
        </w:rPr>
        <w:t xml:space="preserve"> (Καθ’ου η Αίτηση 1 στη διαδικασία)</w:t>
      </w:r>
      <w:r w:rsidR="00767EE1">
        <w:rPr>
          <w:rFonts w:ascii="Bookman Old Style" w:hAnsi="Bookman Old Style" w:cs="Arial"/>
          <w:sz w:val="28"/>
          <w:szCs w:val="28"/>
          <w:lang w:val="el-GR"/>
        </w:rPr>
        <w:t>,</w:t>
      </w:r>
      <w:r w:rsidR="00FC7324">
        <w:rPr>
          <w:rFonts w:ascii="Bookman Old Style" w:hAnsi="Bookman Old Style" w:cs="Arial"/>
          <w:sz w:val="28"/>
          <w:szCs w:val="28"/>
          <w:lang w:val="el-GR"/>
        </w:rPr>
        <w:t xml:space="preserve"> </w:t>
      </w:r>
      <w:bookmarkEnd w:id="2"/>
      <w:r>
        <w:rPr>
          <w:rFonts w:ascii="Bookman Old Style" w:hAnsi="Bookman Old Style" w:cs="Arial"/>
          <w:sz w:val="28"/>
          <w:szCs w:val="28"/>
          <w:lang w:val="el-GR"/>
        </w:rPr>
        <w:t>ο οποίος</w:t>
      </w:r>
      <w:r w:rsidR="005C73EE">
        <w:rPr>
          <w:rFonts w:ascii="Bookman Old Style" w:hAnsi="Bookman Old Style" w:cs="Arial"/>
          <w:sz w:val="28"/>
          <w:szCs w:val="28"/>
          <w:lang w:val="el-GR"/>
        </w:rPr>
        <w:t xml:space="preserve"> </w:t>
      </w:r>
      <w:r>
        <w:rPr>
          <w:rFonts w:ascii="Bookman Old Style" w:hAnsi="Bookman Old Style" w:cs="Arial"/>
          <w:sz w:val="28"/>
          <w:szCs w:val="28"/>
          <w:lang w:val="el-GR"/>
        </w:rPr>
        <w:t>είναι αδελφός του Εφεσείοντα</w:t>
      </w:r>
      <w:r w:rsidR="00767EE1">
        <w:rPr>
          <w:rFonts w:ascii="Bookman Old Style" w:hAnsi="Bookman Old Style" w:cs="Arial"/>
          <w:sz w:val="28"/>
          <w:szCs w:val="28"/>
          <w:lang w:val="el-GR"/>
        </w:rPr>
        <w:t>,</w:t>
      </w:r>
      <w:r>
        <w:rPr>
          <w:rFonts w:ascii="Bookman Old Style" w:hAnsi="Bookman Old Style" w:cs="Arial"/>
          <w:sz w:val="28"/>
          <w:szCs w:val="28"/>
          <w:lang w:val="el-GR"/>
        </w:rPr>
        <w:t xml:space="preserve"> δεν αμφισβητείται. Ό,τι αμφισβητείται</w:t>
      </w:r>
      <w:r w:rsidR="00FC7324">
        <w:rPr>
          <w:rFonts w:ascii="Bookman Old Style" w:hAnsi="Bookman Old Style" w:cs="Arial"/>
          <w:sz w:val="28"/>
          <w:szCs w:val="28"/>
          <w:lang w:val="el-GR"/>
        </w:rPr>
        <w:t>,</w:t>
      </w:r>
      <w:r>
        <w:rPr>
          <w:rFonts w:ascii="Bookman Old Style" w:hAnsi="Bookman Old Style" w:cs="Arial"/>
          <w:sz w:val="28"/>
          <w:szCs w:val="28"/>
          <w:lang w:val="el-GR"/>
        </w:rPr>
        <w:t xml:space="preserve"> εν προκειμένω</w:t>
      </w:r>
      <w:r w:rsidR="00FC7324">
        <w:rPr>
          <w:rFonts w:ascii="Bookman Old Style" w:hAnsi="Bookman Old Style" w:cs="Arial"/>
          <w:sz w:val="28"/>
          <w:szCs w:val="28"/>
          <w:lang w:val="el-GR"/>
        </w:rPr>
        <w:t>,</w:t>
      </w:r>
      <w:r>
        <w:rPr>
          <w:rFonts w:ascii="Bookman Old Style" w:hAnsi="Bookman Old Style" w:cs="Arial"/>
          <w:sz w:val="28"/>
          <w:szCs w:val="28"/>
          <w:lang w:val="el-GR"/>
        </w:rPr>
        <w:t xml:space="preserve"> είναι </w:t>
      </w:r>
      <w:r w:rsidR="005C73EE">
        <w:rPr>
          <w:rFonts w:ascii="Bookman Old Style" w:hAnsi="Bookman Old Style" w:cs="Arial"/>
          <w:sz w:val="28"/>
          <w:szCs w:val="28"/>
          <w:lang w:val="el-GR"/>
        </w:rPr>
        <w:t>η αναφορά του επιδότη ότι η επίδοση έγινε στο χώρο εργασίας του Εφεσείοντα. Προς υποστήριξη του εν λόγω ισχυρισμού του ο Εφεσείων προέβαλε ότι ουδεμία σχέση έχει με το χώρο εργασίας της επιχείρησης στον οποίο έγινε η επίδοση</w:t>
      </w:r>
      <w:r w:rsidR="00767EE1">
        <w:rPr>
          <w:rFonts w:ascii="Bookman Old Style" w:hAnsi="Bookman Old Style" w:cs="Arial"/>
          <w:sz w:val="28"/>
          <w:szCs w:val="28"/>
          <w:lang w:val="el-GR"/>
        </w:rPr>
        <w:t>,</w:t>
      </w:r>
      <w:r w:rsidR="005C73EE">
        <w:rPr>
          <w:rFonts w:ascii="Bookman Old Style" w:hAnsi="Bookman Old Style" w:cs="Arial"/>
          <w:sz w:val="28"/>
          <w:szCs w:val="28"/>
          <w:lang w:val="el-GR"/>
        </w:rPr>
        <w:t xml:space="preserve"> εφόσον ο ίδιος είναι δημόσιος υπάλληλος και</w:t>
      </w:r>
      <w:r w:rsidR="0065535A">
        <w:rPr>
          <w:rFonts w:ascii="Bookman Old Style" w:hAnsi="Bookman Old Style" w:cs="Arial"/>
          <w:sz w:val="28"/>
          <w:szCs w:val="28"/>
          <w:lang w:val="el-GR"/>
        </w:rPr>
        <w:t>,</w:t>
      </w:r>
      <w:r w:rsidR="005C73EE">
        <w:rPr>
          <w:rFonts w:ascii="Bookman Old Style" w:hAnsi="Bookman Old Style" w:cs="Arial"/>
          <w:sz w:val="28"/>
          <w:szCs w:val="28"/>
          <w:lang w:val="el-GR"/>
        </w:rPr>
        <w:t xml:space="preserve"> συγκεκριμένα</w:t>
      </w:r>
      <w:r w:rsidR="0065535A">
        <w:rPr>
          <w:rFonts w:ascii="Bookman Old Style" w:hAnsi="Bookman Old Style" w:cs="Arial"/>
          <w:sz w:val="28"/>
          <w:szCs w:val="28"/>
          <w:lang w:val="el-GR"/>
        </w:rPr>
        <w:t>,</w:t>
      </w:r>
      <w:r w:rsidR="005C73EE">
        <w:rPr>
          <w:rFonts w:ascii="Bookman Old Style" w:hAnsi="Bookman Old Style" w:cs="Arial"/>
          <w:sz w:val="28"/>
          <w:szCs w:val="28"/>
          <w:lang w:val="el-GR"/>
        </w:rPr>
        <w:t xml:space="preserve"> καθηγητής στο δημόσιο. Προς επίρρωση δε του εν λόγω ισχυρισμού του</w:t>
      </w:r>
      <w:r w:rsidR="00FC7324">
        <w:rPr>
          <w:rFonts w:ascii="Bookman Old Style" w:hAnsi="Bookman Old Style" w:cs="Arial"/>
          <w:sz w:val="28"/>
          <w:szCs w:val="28"/>
          <w:lang w:val="el-GR"/>
        </w:rPr>
        <w:t>,</w:t>
      </w:r>
      <w:r w:rsidR="005C73EE">
        <w:rPr>
          <w:rFonts w:ascii="Bookman Old Style" w:hAnsi="Bookman Old Style" w:cs="Arial"/>
          <w:sz w:val="28"/>
          <w:szCs w:val="28"/>
          <w:lang w:val="el-GR"/>
        </w:rPr>
        <w:t xml:space="preserve"> επισύναψε δέσμη με τις καταστάσεις μισθοδοσίας του από την Κυπριακή Δημοκρατία</w:t>
      </w:r>
      <w:r w:rsidR="00050ACB">
        <w:rPr>
          <w:rFonts w:ascii="Bookman Old Style" w:hAnsi="Bookman Old Style" w:cs="Arial"/>
          <w:sz w:val="28"/>
          <w:szCs w:val="28"/>
          <w:lang w:val="el-GR"/>
        </w:rPr>
        <w:t xml:space="preserve"> </w:t>
      </w:r>
      <w:r w:rsidR="005C73EE">
        <w:rPr>
          <w:rFonts w:ascii="Bookman Old Style" w:hAnsi="Bookman Old Style" w:cs="Arial"/>
          <w:sz w:val="28"/>
          <w:szCs w:val="28"/>
          <w:lang w:val="el-GR"/>
        </w:rPr>
        <w:t>κατά τους μήνες Ιανουάριο του 2013 και Μάρτιο του 2013</w:t>
      </w:r>
      <w:r w:rsidR="00767EE1">
        <w:rPr>
          <w:rFonts w:ascii="Bookman Old Style" w:hAnsi="Bookman Old Style" w:cs="Arial"/>
          <w:sz w:val="28"/>
          <w:szCs w:val="28"/>
          <w:lang w:val="el-GR"/>
        </w:rPr>
        <w:t>,</w:t>
      </w:r>
      <w:r w:rsidR="005C73EE">
        <w:rPr>
          <w:rFonts w:ascii="Bookman Old Style" w:hAnsi="Bookman Old Style" w:cs="Arial"/>
          <w:sz w:val="28"/>
          <w:szCs w:val="28"/>
          <w:lang w:val="el-GR"/>
        </w:rPr>
        <w:t xml:space="preserve"> κατά τους οποίους</w:t>
      </w:r>
      <w:r w:rsidR="00050ACB">
        <w:rPr>
          <w:rFonts w:ascii="Bookman Old Style" w:hAnsi="Bookman Old Style" w:cs="Arial"/>
          <w:sz w:val="28"/>
          <w:szCs w:val="28"/>
          <w:lang w:val="el-GR"/>
        </w:rPr>
        <w:t xml:space="preserve"> έγινε η επίδοση της διαιτητικής απόφασης και της Γενικής Αίτησης στο λανθασμένο, όπως ισχυρίστηκε, τόπο εργασίας. Ήταν η θέση του ότι ουδέποτε ο ίδιος έλαβε γνώση είτε της αίτησης για εγγραφή της διαιτητικής </w:t>
      </w:r>
      <w:bookmarkStart w:id="3" w:name="_Hlk146132227"/>
      <w:r w:rsidR="00050ACB">
        <w:rPr>
          <w:rFonts w:ascii="Bookman Old Style" w:hAnsi="Bookman Old Style" w:cs="Arial"/>
          <w:sz w:val="28"/>
          <w:szCs w:val="28"/>
          <w:lang w:val="el-GR"/>
        </w:rPr>
        <w:t>απόφασης</w:t>
      </w:r>
      <w:bookmarkEnd w:id="3"/>
      <w:r w:rsidR="00050ACB">
        <w:rPr>
          <w:rFonts w:ascii="Bookman Old Style" w:hAnsi="Bookman Old Style" w:cs="Arial"/>
          <w:sz w:val="28"/>
          <w:szCs w:val="28"/>
          <w:lang w:val="el-GR"/>
        </w:rPr>
        <w:t xml:space="preserve">, είτε της διαιτητικής απόφασης </w:t>
      </w:r>
      <w:r w:rsidR="00971F93">
        <w:rPr>
          <w:rFonts w:ascii="Bookman Old Style" w:hAnsi="Bookman Old Style" w:cs="Arial"/>
          <w:sz w:val="28"/>
          <w:szCs w:val="28"/>
          <w:lang w:val="el-GR"/>
        </w:rPr>
        <w:t>δηλώνοντας</w:t>
      </w:r>
      <w:r w:rsidR="00FC7324">
        <w:rPr>
          <w:rFonts w:ascii="Bookman Old Style" w:hAnsi="Bookman Old Style" w:cs="Arial"/>
          <w:sz w:val="28"/>
          <w:szCs w:val="28"/>
          <w:lang w:val="el-GR"/>
        </w:rPr>
        <w:t>,</w:t>
      </w:r>
      <w:r w:rsidR="00971F93">
        <w:rPr>
          <w:rFonts w:ascii="Bookman Old Style" w:hAnsi="Bookman Old Style" w:cs="Arial"/>
          <w:sz w:val="28"/>
          <w:szCs w:val="28"/>
          <w:lang w:val="el-GR"/>
        </w:rPr>
        <w:t xml:space="preserve"> </w:t>
      </w:r>
      <w:r w:rsidR="000A69F0">
        <w:rPr>
          <w:rFonts w:ascii="Bookman Old Style" w:hAnsi="Bookman Old Style" w:cs="Arial"/>
          <w:sz w:val="28"/>
          <w:szCs w:val="28"/>
          <w:lang w:val="el-GR"/>
        </w:rPr>
        <w:t>συγχρόνως</w:t>
      </w:r>
      <w:r w:rsidR="00FC7324">
        <w:rPr>
          <w:rFonts w:ascii="Bookman Old Style" w:hAnsi="Bookman Old Style" w:cs="Arial"/>
          <w:sz w:val="28"/>
          <w:szCs w:val="28"/>
          <w:lang w:val="el-GR"/>
        </w:rPr>
        <w:t>,</w:t>
      </w:r>
      <w:r w:rsidR="00971F93">
        <w:rPr>
          <w:rFonts w:ascii="Bookman Old Style" w:hAnsi="Bookman Old Style" w:cs="Arial"/>
          <w:sz w:val="28"/>
          <w:szCs w:val="28"/>
          <w:lang w:val="el-GR"/>
        </w:rPr>
        <w:t xml:space="preserve"> ότι οι σχέσεις του με τον αδελφό του είχαν διασαλευθεί από το 2010 και ότι εσκεμμένα ο αδελφός του δεν τον ενημέρωσε όταν γίνονταν οι σχετικές επιδόσεις.</w:t>
      </w:r>
    </w:p>
    <w:p w14:paraId="193545FA" w14:textId="77777777" w:rsidR="00971F93" w:rsidRDefault="00971F93" w:rsidP="00937ED0">
      <w:pPr>
        <w:spacing w:line="480" w:lineRule="auto"/>
        <w:ind w:right="-35"/>
        <w:jc w:val="both"/>
        <w:rPr>
          <w:rFonts w:ascii="Bookman Old Style" w:hAnsi="Bookman Old Style" w:cs="Arial"/>
          <w:sz w:val="28"/>
          <w:szCs w:val="28"/>
          <w:lang w:val="el-GR"/>
        </w:rPr>
      </w:pPr>
    </w:p>
    <w:p w14:paraId="70135FFA" w14:textId="693BFB06" w:rsidR="002071F6" w:rsidRDefault="00971F93" w:rsidP="002071F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έκανε δεκτή τη θέση του Εφεσείοντα ότι αυτός εργάζεται στο δημόσιο τομέα και, στη βάση αυτή, δεν έκανε αποδεκτή την αναφορά του επιδότη ότι η επίδοση έγινε στο χώρο εργασίας του. Το γεγονός ότι στην ένορκη δήλωση του επιδότη δεν γινόταν αναφορά ότι ο Χαράλαμπος Διακουρτή ήταν αδελφός του Εφεσείοντα, δεν κρίθηκε από το πρωτόδικο Δικαστήριο ότι </w:t>
      </w:r>
      <w:r w:rsidR="002071F6">
        <w:rPr>
          <w:rFonts w:ascii="Bookman Old Style" w:hAnsi="Bookman Old Style" w:cs="Arial"/>
          <w:sz w:val="28"/>
          <w:szCs w:val="28"/>
          <w:lang w:val="el-GR"/>
        </w:rPr>
        <w:t>συνιστούσε παράλειψη</w:t>
      </w:r>
      <w:r w:rsidR="00767EE1">
        <w:rPr>
          <w:rFonts w:ascii="Bookman Old Style" w:hAnsi="Bookman Old Style" w:cs="Arial"/>
          <w:sz w:val="28"/>
          <w:szCs w:val="28"/>
          <w:lang w:val="el-GR"/>
        </w:rPr>
        <w:t>,</w:t>
      </w:r>
      <w:r w:rsidR="002071F6" w:rsidRPr="002071F6">
        <w:rPr>
          <w:rFonts w:ascii="Bookman Old Style" w:hAnsi="Bookman Old Style" w:cs="Arial"/>
          <w:sz w:val="28"/>
          <w:szCs w:val="28"/>
          <w:lang w:val="el-GR"/>
        </w:rPr>
        <w:t xml:space="preserve"> </w:t>
      </w:r>
      <w:r w:rsidR="002071F6">
        <w:rPr>
          <w:rFonts w:ascii="Bookman Old Style" w:hAnsi="Bookman Old Style" w:cs="Arial"/>
          <w:sz w:val="28"/>
          <w:szCs w:val="28"/>
          <w:lang w:val="el-GR"/>
        </w:rPr>
        <w:t>δεδομένης τη μη αμφισβήτησης από τον Εφεσείοντα της συγγενικής του σχέσης με το Χαράλαμπο Διακουρτή</w:t>
      </w:r>
      <w:r w:rsidR="000A69F0">
        <w:rPr>
          <w:rFonts w:ascii="Bookman Old Style" w:hAnsi="Bookman Old Style" w:cs="Arial"/>
          <w:sz w:val="28"/>
          <w:szCs w:val="28"/>
          <w:lang w:val="el-GR"/>
        </w:rPr>
        <w:t xml:space="preserve">. Δεν έκανε δεκτή, ωστόσο, τη θέση του Εφεσείοντα ότι </w:t>
      </w:r>
      <w:bookmarkStart w:id="4" w:name="_Hlk146184886"/>
      <w:r w:rsidR="000A69F0">
        <w:rPr>
          <w:rFonts w:ascii="Bookman Old Style" w:hAnsi="Bookman Old Style" w:cs="Arial"/>
          <w:sz w:val="28"/>
          <w:szCs w:val="28"/>
          <w:lang w:val="el-GR"/>
        </w:rPr>
        <w:t xml:space="preserve">δεν είχε ενημερωθεί από τον αδελφό του για την επίδοση </w:t>
      </w:r>
      <w:bookmarkEnd w:id="4"/>
      <w:r w:rsidR="000A69F0">
        <w:rPr>
          <w:rFonts w:ascii="Bookman Old Style" w:hAnsi="Bookman Old Style" w:cs="Arial"/>
          <w:sz w:val="28"/>
          <w:szCs w:val="28"/>
          <w:lang w:val="el-GR"/>
        </w:rPr>
        <w:t>στη βάση του ακόλουθου σκεπτικού:</w:t>
      </w:r>
    </w:p>
    <w:p w14:paraId="26F34286" w14:textId="77777777" w:rsidR="000A69F0" w:rsidRPr="000A69F0" w:rsidRDefault="000A69F0" w:rsidP="000A69F0">
      <w:pPr>
        <w:spacing w:line="276" w:lineRule="auto"/>
        <w:ind w:right="-35"/>
        <w:jc w:val="both"/>
        <w:rPr>
          <w:rFonts w:ascii="Bookman Old Style" w:hAnsi="Bookman Old Style" w:cs="Arial"/>
          <w:sz w:val="26"/>
          <w:szCs w:val="26"/>
          <w:lang w:val="el-GR"/>
        </w:rPr>
      </w:pPr>
    </w:p>
    <w:p w14:paraId="64385DA6" w14:textId="645250BC" w:rsidR="000A69F0" w:rsidRDefault="000A69F0" w:rsidP="000A69F0">
      <w:pPr>
        <w:spacing w:line="276" w:lineRule="auto"/>
        <w:ind w:left="426" w:right="390"/>
        <w:jc w:val="both"/>
        <w:rPr>
          <w:rFonts w:ascii="Bookman Old Style" w:hAnsi="Bookman Old Style" w:cs="Arial"/>
          <w:sz w:val="26"/>
          <w:szCs w:val="26"/>
          <w:lang w:val="el-GR"/>
        </w:rPr>
      </w:pPr>
      <w:r w:rsidRPr="000A69F0">
        <w:rPr>
          <w:rFonts w:ascii="Bookman Old Style" w:hAnsi="Bookman Old Style" w:cs="Arial"/>
          <w:sz w:val="26"/>
          <w:szCs w:val="26"/>
          <w:lang w:val="el-GR"/>
        </w:rPr>
        <w:t xml:space="preserve">«Η αναφορά του αιτητή ότι ο αδελφός του δεν τον έχει ενημερώσει και μάλιστα εσκεμμένα για να του αποστερήσει το δικαίωμα να παραστεί ως διάδικος, πέραν του γεγονότος ότι αυτή έχει αμφισβητηθεί από πλευράς καθ΄ ων η αίτηση και η αναφορά αυτή είναι πλέον </w:t>
      </w:r>
      <w:bookmarkStart w:id="5" w:name="_Hlk146187165"/>
      <w:r w:rsidRPr="000A69F0">
        <w:rPr>
          <w:rFonts w:ascii="Bookman Old Style" w:hAnsi="Bookman Old Style" w:cs="Arial"/>
          <w:sz w:val="26"/>
          <w:szCs w:val="26"/>
          <w:lang w:val="el-GR"/>
        </w:rPr>
        <w:t>εκτεθειμένη και έκθετη προς απόρριψη</w:t>
      </w:r>
      <w:bookmarkEnd w:id="5"/>
      <w:r w:rsidRPr="000A69F0">
        <w:rPr>
          <w:rFonts w:ascii="Bookman Old Style" w:hAnsi="Bookman Old Style" w:cs="Arial"/>
          <w:sz w:val="26"/>
          <w:szCs w:val="26"/>
          <w:lang w:val="el-GR"/>
        </w:rPr>
        <w:t>, πρωτίστως όμως προκύπτει ότι η επίδοση έγινε νομότυπα, διότι αυτή η επίδοση έγινε σε</w:t>
      </w:r>
      <w:r w:rsidRPr="000A69F0">
        <w:rPr>
          <w:rFonts w:ascii="Bookman Old Style" w:hAnsi="Bookman Old Style" w:cs="Arial"/>
          <w:sz w:val="26"/>
          <w:szCs w:val="26"/>
        </w:rPr>
        <w:t> </w:t>
      </w:r>
      <w:r w:rsidRPr="000A69F0">
        <w:rPr>
          <w:rFonts w:ascii="Bookman Old Style" w:hAnsi="Bookman Old Style" w:cs="Arial"/>
          <w:sz w:val="26"/>
          <w:szCs w:val="26"/>
          <w:lang w:val="el-GR"/>
        </w:rPr>
        <w:t xml:space="preserve"> ενήλικο μέλος της οικογένειας του εντός της πόλης όπου αυτός διαμένει».</w:t>
      </w:r>
    </w:p>
    <w:p w14:paraId="1F6161AB" w14:textId="77777777" w:rsidR="00FC7324" w:rsidRPr="000A69F0" w:rsidRDefault="00FC7324" w:rsidP="000A69F0">
      <w:pPr>
        <w:spacing w:line="276" w:lineRule="auto"/>
        <w:ind w:left="426" w:right="390"/>
        <w:jc w:val="both"/>
        <w:rPr>
          <w:rFonts w:ascii="Bookman Old Style" w:hAnsi="Bookman Old Style" w:cs="Arial"/>
          <w:sz w:val="26"/>
          <w:szCs w:val="26"/>
          <w:lang w:val="el-GR"/>
        </w:rPr>
      </w:pPr>
    </w:p>
    <w:p w14:paraId="653F13F5" w14:textId="77777777" w:rsidR="00457CBF" w:rsidRPr="000A69F0" w:rsidRDefault="00457CBF" w:rsidP="000A69F0">
      <w:pPr>
        <w:spacing w:line="276" w:lineRule="auto"/>
        <w:ind w:right="-35"/>
        <w:jc w:val="both"/>
        <w:rPr>
          <w:rFonts w:ascii="Bookman Old Style" w:hAnsi="Bookman Old Style" w:cs="Arial"/>
          <w:sz w:val="26"/>
          <w:szCs w:val="26"/>
          <w:lang w:val="el-GR"/>
        </w:rPr>
      </w:pPr>
    </w:p>
    <w:p w14:paraId="65845348" w14:textId="12C07974" w:rsidR="00F47289" w:rsidRDefault="00F47289" w:rsidP="00FF2973">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n-US"/>
        </w:rPr>
        <w:t>To</w:t>
      </w:r>
      <w:r w:rsidRPr="00F47289">
        <w:rPr>
          <w:rFonts w:ascii="Bookman Old Style" w:hAnsi="Bookman Old Style" w:cs="Arial"/>
          <w:sz w:val="28"/>
          <w:szCs w:val="28"/>
          <w:lang w:val="el-GR"/>
        </w:rPr>
        <w:t xml:space="preserve"> </w:t>
      </w:r>
      <w:r>
        <w:rPr>
          <w:rFonts w:ascii="Bookman Old Style" w:hAnsi="Bookman Old Style" w:cs="Arial"/>
          <w:sz w:val="28"/>
          <w:szCs w:val="28"/>
          <w:lang w:val="el-GR"/>
        </w:rPr>
        <w:t>ζητούμενο εν προκειμένω είναι κατά πόσο ο Εφεσείων έλαβε, πράγματι, γνώση περί των πιο πάνω διαδικασιών ως εκ της πιο πάνω επίδοσης. Χωρίς την ύπαρξη τέτοιας γνώσης δεν μπορεί να θεωρηθεί ότι αυτός παρέλειψε να εμφανιστεί, οπότε το διάταγμα εναντίον του πρέπει να παραμερισθεί.</w:t>
      </w:r>
      <w:r w:rsidR="00FF2973" w:rsidRPr="00FF2973">
        <w:rPr>
          <w:rFonts w:ascii="Bookman Old Style" w:hAnsi="Bookman Old Style" w:cs="Arial"/>
          <w:sz w:val="28"/>
          <w:szCs w:val="28"/>
          <w:lang w:val="el-GR"/>
        </w:rPr>
        <w:t xml:space="preserve"> </w:t>
      </w:r>
      <w:r w:rsidRPr="00F47289">
        <w:rPr>
          <w:rFonts w:ascii="Bookman Old Style" w:hAnsi="Bookman Old Style"/>
          <w:sz w:val="28"/>
          <w:szCs w:val="28"/>
          <w:lang w:val="el-GR"/>
        </w:rPr>
        <w:t xml:space="preserve">Η νομολογία του Ανωτάτου Δικαστηρίου υποδεικνύει ότι στις περιπτώσεις που ο εναγόμενος δεν </w:t>
      </w:r>
      <w:r w:rsidR="00C2202D">
        <w:rPr>
          <w:rFonts w:ascii="Bookman Old Style" w:hAnsi="Bookman Old Style"/>
          <w:sz w:val="28"/>
          <w:szCs w:val="28"/>
          <w:lang w:val="el-GR"/>
        </w:rPr>
        <w:t xml:space="preserve">έλαβε </w:t>
      </w:r>
      <w:r w:rsidRPr="00F47289">
        <w:rPr>
          <w:rFonts w:ascii="Bookman Old Style" w:hAnsi="Bookman Old Style"/>
          <w:sz w:val="28"/>
          <w:szCs w:val="28"/>
          <w:lang w:val="el-GR"/>
        </w:rPr>
        <w:t xml:space="preserve">γνώση για την αγωγή ή την πορεία της υπόθεσης, η απόφαση θα πρέπει να παραμερίζεται χωρίς να τίθεται θέμα διακριτικής εξουσίας. Στην υπόθεση </w:t>
      </w:r>
      <w:r w:rsidRPr="00FF2973">
        <w:rPr>
          <w:rFonts w:ascii="Bookman Old Style" w:hAnsi="Bookman Old Style"/>
          <w:b/>
          <w:bCs/>
          <w:i/>
          <w:iCs/>
          <w:sz w:val="28"/>
          <w:szCs w:val="28"/>
          <w:lang w:val="el-GR"/>
        </w:rPr>
        <w:t>Γιωργα</w:t>
      </w:r>
      <w:r w:rsidR="00767EE1">
        <w:rPr>
          <w:rFonts w:ascii="Bookman Old Style" w:hAnsi="Bookman Old Style"/>
          <w:b/>
          <w:bCs/>
          <w:i/>
          <w:iCs/>
          <w:sz w:val="28"/>
          <w:szCs w:val="28"/>
          <w:lang w:val="el-GR"/>
        </w:rPr>
        <w:t>λ</w:t>
      </w:r>
      <w:r w:rsidRPr="00FF2973">
        <w:rPr>
          <w:rFonts w:ascii="Bookman Old Style" w:hAnsi="Bookman Old Style"/>
          <w:b/>
          <w:bCs/>
          <w:i/>
          <w:iCs/>
          <w:sz w:val="28"/>
          <w:szCs w:val="28"/>
          <w:lang w:val="el-GR"/>
        </w:rPr>
        <w:t>λίδης ν. Χρίστου</w:t>
      </w:r>
      <w:r w:rsidRPr="00FF2973">
        <w:rPr>
          <w:rFonts w:ascii="Bookman Old Style" w:hAnsi="Bookman Old Style"/>
          <w:sz w:val="28"/>
          <w:szCs w:val="28"/>
          <w:lang w:val="el-GR"/>
        </w:rPr>
        <w:t xml:space="preserve"> </w:t>
      </w:r>
      <w:r w:rsidRPr="00FF2973">
        <w:rPr>
          <w:rFonts w:ascii="Bookman Old Style" w:hAnsi="Bookman Old Style"/>
          <w:b/>
          <w:bCs/>
          <w:i/>
          <w:iCs/>
          <w:sz w:val="28"/>
          <w:szCs w:val="28"/>
          <w:lang w:val="el-GR"/>
        </w:rPr>
        <w:t>(1997) 1 Α.Α.Δ. 247</w:t>
      </w:r>
      <w:r w:rsidRPr="00FF2973">
        <w:rPr>
          <w:rFonts w:ascii="Bookman Old Style" w:hAnsi="Bookman Old Style"/>
          <w:sz w:val="28"/>
          <w:szCs w:val="28"/>
          <w:lang w:val="el-GR"/>
        </w:rPr>
        <w:t xml:space="preserve">, </w:t>
      </w:r>
      <w:r w:rsidR="00FF2973">
        <w:rPr>
          <w:rFonts w:ascii="Bookman Old Style" w:hAnsi="Bookman Old Style"/>
          <w:sz w:val="28"/>
          <w:szCs w:val="28"/>
          <w:lang w:val="el-GR"/>
        </w:rPr>
        <w:t xml:space="preserve">λέχθηκε </w:t>
      </w:r>
      <w:r w:rsidRPr="00FF2973">
        <w:rPr>
          <w:rFonts w:ascii="Bookman Old Style" w:hAnsi="Bookman Old Style"/>
          <w:sz w:val="28"/>
          <w:szCs w:val="28"/>
          <w:lang w:val="el-GR"/>
        </w:rPr>
        <w:t>ότι αντικανονική επίδοση, εκθεμελιώνει τη διαδικασία. Στις περιπτώσεις αυτές, η απόφαση θα πρέπει να παραμερίζεται αυτοδικαίως (</w:t>
      </w:r>
      <w:r w:rsidRPr="00FF2973">
        <w:rPr>
          <w:rFonts w:ascii="Bookman Old Style" w:hAnsi="Bookman Old Style"/>
          <w:i/>
          <w:iCs/>
          <w:sz w:val="28"/>
          <w:szCs w:val="28"/>
          <w:lang w:val="el-GR"/>
        </w:rPr>
        <w:t>ex debito justitiae</w:t>
      </w:r>
      <w:r w:rsidRPr="00FF2973">
        <w:rPr>
          <w:rFonts w:ascii="Bookman Old Style" w:hAnsi="Bookman Old Style"/>
          <w:sz w:val="28"/>
          <w:szCs w:val="28"/>
          <w:lang w:val="el-GR"/>
        </w:rPr>
        <w:t xml:space="preserve">). </w:t>
      </w:r>
      <w:r w:rsidR="00FF2973">
        <w:rPr>
          <w:rFonts w:ascii="Bookman Old Style" w:hAnsi="Bookman Old Style"/>
          <w:sz w:val="28"/>
          <w:szCs w:val="28"/>
          <w:lang w:val="el-GR"/>
        </w:rPr>
        <w:t xml:space="preserve"> Διαφορετικά η διατήρηση της εν λόγω απόφασης σε ισχύ</w:t>
      </w:r>
      <w:r w:rsidR="00E54DD9">
        <w:rPr>
          <w:rFonts w:ascii="Bookman Old Style" w:hAnsi="Bookman Old Style"/>
          <w:sz w:val="28"/>
          <w:szCs w:val="28"/>
          <w:lang w:val="el-GR"/>
        </w:rPr>
        <w:t>, θα</w:t>
      </w:r>
      <w:r w:rsidR="00FF2973">
        <w:rPr>
          <w:rFonts w:ascii="Bookman Old Style" w:hAnsi="Bookman Old Style"/>
          <w:sz w:val="28"/>
          <w:szCs w:val="28"/>
          <w:lang w:val="el-GR"/>
        </w:rPr>
        <w:t xml:space="preserve"> συνιστά καταστρατήγηση της αρχής της φυσικής δικαιοσύνης</w:t>
      </w:r>
      <w:r w:rsidR="00767EE1">
        <w:rPr>
          <w:rFonts w:ascii="Bookman Old Style" w:hAnsi="Bookman Old Style"/>
          <w:sz w:val="28"/>
          <w:szCs w:val="28"/>
          <w:lang w:val="el-GR"/>
        </w:rPr>
        <w:t>,</w:t>
      </w:r>
      <w:r w:rsidR="00FF2973">
        <w:rPr>
          <w:rFonts w:ascii="Bookman Old Style" w:hAnsi="Bookman Old Style"/>
          <w:sz w:val="28"/>
          <w:szCs w:val="28"/>
          <w:lang w:val="el-GR"/>
        </w:rPr>
        <w:t xml:space="preserve"> ότι ουδείς δικάζεται χωρίς να έχει την ευκαιρία ν</w:t>
      </w:r>
      <w:r w:rsidR="00767EE1">
        <w:rPr>
          <w:rFonts w:ascii="Bookman Old Style" w:hAnsi="Bookman Old Style"/>
          <w:sz w:val="28"/>
          <w:szCs w:val="28"/>
          <w:lang w:val="el-GR"/>
        </w:rPr>
        <w:t>α</w:t>
      </w:r>
      <w:r w:rsidR="00FF2973">
        <w:rPr>
          <w:rFonts w:ascii="Bookman Old Style" w:hAnsi="Bookman Old Style"/>
          <w:sz w:val="28"/>
          <w:szCs w:val="28"/>
          <w:lang w:val="el-GR"/>
        </w:rPr>
        <w:t xml:space="preserve"> ακουστεί και να προβάλει την </w:t>
      </w:r>
      <w:r w:rsidR="00E54DD9">
        <w:rPr>
          <w:rFonts w:ascii="Bookman Old Style" w:hAnsi="Bookman Old Style"/>
          <w:sz w:val="28"/>
          <w:szCs w:val="28"/>
          <w:lang w:val="el-GR"/>
        </w:rPr>
        <w:t>υπεράσπιση</w:t>
      </w:r>
      <w:r w:rsidR="00FF2973">
        <w:rPr>
          <w:rFonts w:ascii="Bookman Old Style" w:hAnsi="Bookman Old Style"/>
          <w:sz w:val="28"/>
          <w:szCs w:val="28"/>
          <w:lang w:val="el-GR"/>
        </w:rPr>
        <w:t xml:space="preserve"> του. </w:t>
      </w:r>
      <w:r w:rsidR="00767EE1">
        <w:rPr>
          <w:rFonts w:ascii="Bookman Old Style" w:hAnsi="Bookman Old Style"/>
          <w:sz w:val="28"/>
          <w:szCs w:val="28"/>
          <w:lang w:val="el-GR"/>
        </w:rPr>
        <w:t>Όπως,</w:t>
      </w:r>
      <w:r w:rsidR="00E54DD9">
        <w:rPr>
          <w:rFonts w:ascii="Bookman Old Style" w:hAnsi="Bookman Old Style"/>
          <w:sz w:val="28"/>
          <w:szCs w:val="28"/>
          <w:lang w:val="el-GR"/>
        </w:rPr>
        <w:t xml:space="preserve"> συναφώς</w:t>
      </w:r>
      <w:r w:rsidR="00767EE1">
        <w:rPr>
          <w:rFonts w:ascii="Bookman Old Style" w:hAnsi="Bookman Old Style"/>
          <w:sz w:val="28"/>
          <w:szCs w:val="28"/>
          <w:lang w:val="el-GR"/>
        </w:rPr>
        <w:t>,</w:t>
      </w:r>
      <w:r w:rsidR="00E54DD9">
        <w:rPr>
          <w:rFonts w:ascii="Bookman Old Style" w:hAnsi="Bookman Old Style"/>
          <w:sz w:val="28"/>
          <w:szCs w:val="28"/>
          <w:lang w:val="el-GR"/>
        </w:rPr>
        <w:t xml:space="preserve"> τονίσθηκε στην υπόθεση </w:t>
      </w:r>
      <w:r w:rsidRPr="00FF2973">
        <w:rPr>
          <w:rFonts w:ascii="Bookman Old Style" w:hAnsi="Bookman Old Style"/>
          <w:b/>
          <w:bCs/>
          <w:i/>
          <w:iCs/>
          <w:sz w:val="28"/>
          <w:szCs w:val="28"/>
          <w:lang w:val="el-GR"/>
        </w:rPr>
        <w:t xml:space="preserve">Ιερά Μητρόπολη Λεμεσού ν. </w:t>
      </w:r>
      <w:r w:rsidRPr="00FF2973">
        <w:rPr>
          <w:rFonts w:ascii="Bookman Old Style" w:hAnsi="Bookman Old Style"/>
          <w:b/>
          <w:bCs/>
          <w:i/>
          <w:iCs/>
          <w:sz w:val="28"/>
          <w:szCs w:val="28"/>
        </w:rPr>
        <w:t>Chr</w:t>
      </w:r>
      <w:r w:rsidRPr="00FF2973">
        <w:rPr>
          <w:rFonts w:ascii="Bookman Old Style" w:hAnsi="Bookman Old Style"/>
          <w:b/>
          <w:bCs/>
          <w:i/>
          <w:iCs/>
          <w:sz w:val="28"/>
          <w:szCs w:val="28"/>
          <w:lang w:val="el-GR"/>
        </w:rPr>
        <w:t xml:space="preserve">. </w:t>
      </w:r>
      <w:r w:rsidRPr="00FF2973">
        <w:rPr>
          <w:rFonts w:ascii="Bookman Old Style" w:hAnsi="Bookman Old Style"/>
          <w:b/>
          <w:bCs/>
          <w:i/>
          <w:iCs/>
          <w:sz w:val="28"/>
          <w:szCs w:val="28"/>
        </w:rPr>
        <w:t>P</w:t>
      </w:r>
      <w:r w:rsidRPr="00FF2973">
        <w:rPr>
          <w:rFonts w:ascii="Bookman Old Style" w:hAnsi="Bookman Old Style"/>
          <w:b/>
          <w:bCs/>
          <w:i/>
          <w:iCs/>
          <w:sz w:val="28"/>
          <w:szCs w:val="28"/>
          <w:lang w:val="el-GR"/>
        </w:rPr>
        <w:t xml:space="preserve">. </w:t>
      </w:r>
      <w:r w:rsidRPr="00FF2973">
        <w:rPr>
          <w:rFonts w:ascii="Bookman Old Style" w:hAnsi="Bookman Old Style"/>
          <w:b/>
          <w:bCs/>
          <w:i/>
          <w:iCs/>
          <w:sz w:val="28"/>
          <w:szCs w:val="28"/>
        </w:rPr>
        <w:t>Michaelides</w:t>
      </w:r>
      <w:r w:rsidRPr="00FF2973">
        <w:rPr>
          <w:rFonts w:ascii="Bookman Old Style" w:hAnsi="Bookman Old Style"/>
          <w:b/>
          <w:bCs/>
          <w:i/>
          <w:iCs/>
          <w:sz w:val="28"/>
          <w:szCs w:val="28"/>
          <w:lang w:val="el-GR"/>
        </w:rPr>
        <w:t xml:space="preserve"> (</w:t>
      </w:r>
      <w:r w:rsidRPr="00FF2973">
        <w:rPr>
          <w:rFonts w:ascii="Bookman Old Style" w:hAnsi="Bookman Old Style"/>
          <w:b/>
          <w:bCs/>
          <w:i/>
          <w:iCs/>
          <w:sz w:val="28"/>
          <w:szCs w:val="28"/>
        </w:rPr>
        <w:t>Estates</w:t>
      </w:r>
      <w:r w:rsidRPr="00FF2973">
        <w:rPr>
          <w:rFonts w:ascii="Bookman Old Style" w:hAnsi="Bookman Old Style"/>
          <w:b/>
          <w:bCs/>
          <w:i/>
          <w:iCs/>
          <w:sz w:val="28"/>
          <w:szCs w:val="28"/>
          <w:lang w:val="el-GR"/>
        </w:rPr>
        <w:t xml:space="preserve">) </w:t>
      </w:r>
      <w:r w:rsidRPr="00FF2973">
        <w:rPr>
          <w:rFonts w:ascii="Bookman Old Style" w:hAnsi="Bookman Old Style"/>
          <w:b/>
          <w:bCs/>
          <w:i/>
          <w:iCs/>
          <w:sz w:val="28"/>
          <w:szCs w:val="28"/>
        </w:rPr>
        <w:t>Ltd</w:t>
      </w:r>
      <w:r w:rsidRPr="00FF2973">
        <w:rPr>
          <w:rFonts w:ascii="Bookman Old Style" w:hAnsi="Bookman Old Style"/>
          <w:b/>
          <w:bCs/>
          <w:i/>
          <w:iCs/>
          <w:sz w:val="28"/>
          <w:szCs w:val="28"/>
          <w:lang w:val="el-GR"/>
        </w:rPr>
        <w:t xml:space="preserve"> (2002) </w:t>
      </w:r>
      <w:r w:rsidR="00C2202D">
        <w:rPr>
          <w:rFonts w:ascii="Bookman Old Style" w:hAnsi="Bookman Old Style"/>
          <w:b/>
          <w:bCs/>
          <w:i/>
          <w:iCs/>
          <w:sz w:val="28"/>
          <w:szCs w:val="28"/>
          <w:lang w:val="el-GR"/>
        </w:rPr>
        <w:t xml:space="preserve">                 </w:t>
      </w:r>
      <w:r w:rsidRPr="00FF2973">
        <w:rPr>
          <w:rFonts w:ascii="Bookman Old Style" w:hAnsi="Bookman Old Style"/>
          <w:b/>
          <w:bCs/>
          <w:i/>
          <w:iCs/>
          <w:sz w:val="28"/>
          <w:szCs w:val="28"/>
          <w:lang w:val="el-GR"/>
        </w:rPr>
        <w:t>1 Α.Α.Δ 43, 48</w:t>
      </w:r>
      <w:r w:rsidRPr="00FF2973">
        <w:rPr>
          <w:rFonts w:ascii="Bookman Old Style" w:hAnsi="Bookman Old Style"/>
          <w:sz w:val="28"/>
          <w:szCs w:val="28"/>
          <w:lang w:val="el-GR"/>
        </w:rPr>
        <w:t xml:space="preserve">, και </w:t>
      </w:r>
      <w:r w:rsidRPr="00FF2973">
        <w:rPr>
          <w:rFonts w:ascii="Bookman Old Style" w:hAnsi="Bookman Old Style"/>
          <w:b/>
          <w:bCs/>
          <w:i/>
          <w:iCs/>
          <w:sz w:val="28"/>
          <w:szCs w:val="28"/>
          <w:lang w:val="el-GR"/>
        </w:rPr>
        <w:t xml:space="preserve">Νέμιτσας ν. </w:t>
      </w:r>
      <w:r w:rsidRPr="00FF2973">
        <w:rPr>
          <w:rFonts w:ascii="Bookman Old Style" w:hAnsi="Bookman Old Style"/>
          <w:b/>
          <w:bCs/>
          <w:i/>
          <w:iCs/>
          <w:sz w:val="28"/>
          <w:szCs w:val="28"/>
        </w:rPr>
        <w:t>Chaparian</w:t>
      </w:r>
      <w:r w:rsidRPr="00FF2973">
        <w:rPr>
          <w:rFonts w:ascii="Bookman Old Style" w:hAnsi="Bookman Old Style"/>
          <w:sz w:val="28"/>
          <w:szCs w:val="28"/>
          <w:lang w:val="el-GR"/>
        </w:rPr>
        <w:t xml:space="preserve"> </w:t>
      </w:r>
      <w:r w:rsidRPr="00FF2973">
        <w:rPr>
          <w:rFonts w:ascii="Bookman Old Style" w:hAnsi="Bookman Old Style"/>
          <w:b/>
          <w:bCs/>
          <w:i/>
          <w:iCs/>
          <w:sz w:val="28"/>
          <w:szCs w:val="28"/>
          <w:lang w:val="el-GR"/>
        </w:rPr>
        <w:t>(2011) 1 Α.Α.Δ. 806</w:t>
      </w:r>
      <w:r w:rsidR="002C5DEA" w:rsidRPr="002C5DEA">
        <w:rPr>
          <w:rFonts w:ascii="Bookman Old Style" w:hAnsi="Bookman Old Style"/>
          <w:sz w:val="28"/>
          <w:szCs w:val="28"/>
          <w:lang w:val="el-GR"/>
        </w:rPr>
        <w:t>,</w:t>
      </w:r>
      <w:r w:rsidRPr="00F47289">
        <w:rPr>
          <w:rFonts w:ascii="Bookman Old Style" w:hAnsi="Bookman Old Style"/>
          <w:sz w:val="28"/>
          <w:szCs w:val="28"/>
          <w:lang w:val="el-GR"/>
        </w:rPr>
        <w:t xml:space="preserve"> το θεμελιώδες ατομικό δικαίωμα του διαδίκου να γνωρίζει για τις δικαστικές διαδικασίες που κινούνται εναντίον του, συνδέεται αναπόφευκτα με το δικαίωμα δίκαιης δίκης αφού μόνο έτσι του παρέχεται η δυνατότητα να υπερασπιστεί</w:t>
      </w:r>
      <w:r w:rsidR="00FF2973">
        <w:rPr>
          <w:rFonts w:ascii="Bookman Old Style" w:hAnsi="Bookman Old Style"/>
          <w:sz w:val="28"/>
          <w:szCs w:val="28"/>
          <w:lang w:val="el-GR"/>
        </w:rPr>
        <w:t>.</w:t>
      </w:r>
    </w:p>
    <w:p w14:paraId="518AAEE2" w14:textId="77777777" w:rsidR="00FC7324" w:rsidRDefault="00FC7324" w:rsidP="00FF2973">
      <w:pPr>
        <w:spacing w:line="480" w:lineRule="auto"/>
        <w:ind w:right="-35"/>
        <w:jc w:val="both"/>
        <w:rPr>
          <w:rFonts w:ascii="Bookman Old Style" w:hAnsi="Bookman Old Style"/>
          <w:sz w:val="28"/>
          <w:szCs w:val="28"/>
          <w:lang w:val="el-GR"/>
        </w:rPr>
      </w:pPr>
    </w:p>
    <w:p w14:paraId="0762E329" w14:textId="560AB114" w:rsidR="0005037A" w:rsidRPr="00A96EBC" w:rsidRDefault="0005037A" w:rsidP="0005037A">
      <w:pPr>
        <w:spacing w:line="480" w:lineRule="auto"/>
        <w:ind w:right="-35"/>
        <w:jc w:val="both"/>
        <w:rPr>
          <w:rFonts w:ascii="Bookman Old Style" w:hAnsi="Bookman Old Style" w:cs="Arial"/>
          <w:sz w:val="28"/>
          <w:szCs w:val="28"/>
          <w:lang w:val="el-GR"/>
        </w:rPr>
      </w:pPr>
      <w:r w:rsidRPr="0005037A">
        <w:rPr>
          <w:rFonts w:ascii="Bookman Old Style" w:hAnsi="Bookman Old Style"/>
          <w:sz w:val="28"/>
          <w:szCs w:val="28"/>
          <w:lang w:val="el-GR"/>
        </w:rPr>
        <w:t xml:space="preserve">Η επίδοση στη συγκεκριμένη περίπτωση έγινε δυνάμει των προνοιών της </w:t>
      </w:r>
      <w:r w:rsidRPr="0005037A">
        <w:rPr>
          <w:rFonts w:ascii="Bookman Old Style" w:hAnsi="Bookman Old Style"/>
          <w:b/>
          <w:bCs/>
          <w:sz w:val="28"/>
          <w:szCs w:val="28"/>
          <w:lang w:val="el-GR"/>
        </w:rPr>
        <w:t>Δ.5, θ.2(</w:t>
      </w:r>
      <w:r w:rsidR="00C2202D">
        <w:rPr>
          <w:rFonts w:ascii="Bookman Old Style" w:hAnsi="Bookman Old Style"/>
          <w:b/>
          <w:bCs/>
          <w:sz w:val="28"/>
          <w:szCs w:val="28"/>
          <w:lang w:val="el-GR"/>
        </w:rPr>
        <w:t>1</w:t>
      </w:r>
      <w:r w:rsidRPr="0005037A">
        <w:rPr>
          <w:rFonts w:ascii="Bookman Old Style" w:hAnsi="Bookman Old Style"/>
          <w:b/>
          <w:bCs/>
          <w:sz w:val="28"/>
          <w:szCs w:val="28"/>
          <w:lang w:val="el-GR"/>
        </w:rPr>
        <w:t>)</w:t>
      </w:r>
      <w:r w:rsidRPr="0005037A">
        <w:rPr>
          <w:rFonts w:ascii="Bookman Old Style" w:hAnsi="Bookman Old Style" w:cs="Arial"/>
          <w:sz w:val="28"/>
          <w:szCs w:val="28"/>
          <w:lang w:val="el-GR"/>
        </w:rPr>
        <w:t xml:space="preserve"> και δη της </w:t>
      </w:r>
      <w:r w:rsidRPr="0005037A">
        <w:rPr>
          <w:rFonts w:ascii="Bookman Old Style" w:hAnsi="Bookman Old Style" w:cs="Arial"/>
          <w:b/>
          <w:bCs/>
          <w:i/>
          <w:iCs/>
          <w:sz w:val="28"/>
          <w:szCs w:val="28"/>
          <w:lang w:val="el-GR"/>
        </w:rPr>
        <w:t>υποπαραγράφου (</w:t>
      </w:r>
      <w:r w:rsidR="00C2202D">
        <w:rPr>
          <w:rFonts w:ascii="Bookman Old Style" w:hAnsi="Bookman Old Style" w:cs="Arial"/>
          <w:b/>
          <w:bCs/>
          <w:i/>
          <w:iCs/>
          <w:sz w:val="28"/>
          <w:szCs w:val="28"/>
          <w:lang w:val="en-US"/>
        </w:rPr>
        <w:t>i</w:t>
      </w:r>
      <w:r w:rsidRPr="0005037A">
        <w:rPr>
          <w:rFonts w:ascii="Bookman Old Style" w:hAnsi="Bookman Old Style" w:cs="Arial"/>
          <w:b/>
          <w:bCs/>
          <w:i/>
          <w:iCs/>
          <w:sz w:val="28"/>
          <w:szCs w:val="28"/>
          <w:lang w:val="el-GR"/>
        </w:rPr>
        <w:t>)</w:t>
      </w:r>
      <w:r w:rsidR="00C2202D" w:rsidRPr="0005037A">
        <w:rPr>
          <w:rStyle w:val="FootnoteReference"/>
          <w:rFonts w:ascii="Bookman Old Style" w:hAnsi="Bookman Old Style"/>
          <w:sz w:val="28"/>
          <w:szCs w:val="28"/>
          <w:lang w:val="el-GR"/>
        </w:rPr>
        <w:footnoteReference w:id="1"/>
      </w:r>
      <w:r w:rsidRPr="0005037A">
        <w:rPr>
          <w:rFonts w:ascii="Bookman Old Style" w:hAnsi="Bookman Old Style" w:cs="Arial"/>
          <w:b/>
          <w:bCs/>
          <w:i/>
          <w:iCs/>
          <w:sz w:val="28"/>
          <w:szCs w:val="28"/>
          <w:lang w:val="el-GR"/>
        </w:rPr>
        <w:t xml:space="preserve"> </w:t>
      </w:r>
      <w:r w:rsidR="006B2B34" w:rsidRPr="0005037A">
        <w:rPr>
          <w:rFonts w:ascii="Bookman Old Style" w:hAnsi="Bookman Old Style" w:cs="Arial"/>
          <w:sz w:val="28"/>
          <w:szCs w:val="28"/>
          <w:lang w:val="el-GR"/>
        </w:rPr>
        <w:t>αυτ</w:t>
      </w:r>
      <w:r w:rsidR="006B2B34">
        <w:rPr>
          <w:rFonts w:ascii="Bookman Old Style" w:hAnsi="Bookman Old Style" w:cs="Arial"/>
          <w:sz w:val="28"/>
          <w:szCs w:val="28"/>
          <w:lang w:val="el-GR"/>
        </w:rPr>
        <w:t>ής</w:t>
      </w:r>
      <w:r w:rsidRPr="0005037A">
        <w:rPr>
          <w:rFonts w:ascii="Bookman Old Style" w:hAnsi="Bookman Old Style" w:cs="Arial"/>
          <w:sz w:val="28"/>
          <w:szCs w:val="28"/>
          <w:lang w:val="el-GR"/>
        </w:rPr>
        <w:t>.</w:t>
      </w:r>
      <w:r w:rsidRPr="0005037A">
        <w:rPr>
          <w:rFonts w:ascii="Bookman Old Style" w:hAnsi="Bookman Old Style" w:cs="Arial"/>
          <w:sz w:val="28"/>
          <w:szCs w:val="28"/>
        </w:rPr>
        <w:t> </w:t>
      </w:r>
      <w:r w:rsidRPr="0005037A">
        <w:rPr>
          <w:rFonts w:ascii="Bookman Old Style" w:hAnsi="Bookman Old Style" w:cs="Arial"/>
          <w:sz w:val="28"/>
          <w:szCs w:val="28"/>
          <w:lang w:val="el-GR"/>
        </w:rPr>
        <w:t xml:space="preserve">Επισημαίνεται, συναφώς, ότι επίδοση κλητηρίου εντάλματος σε πρόσωπο άλλο από τον ίδιο τον εναγόμενο, σε οποιαδήποτε από τις περιπτώσεις που προβλέπονται στον πιο πάνω Κανονισμό, είναι, οπωσδήποτε, επιτρεπτή και θεωρείται ότι γίνεται δεόντως (βλ. </w:t>
      </w:r>
      <w:r w:rsidRPr="0005037A">
        <w:rPr>
          <w:rFonts w:ascii="Bookman Old Style" w:hAnsi="Bookman Old Style" w:cs="Arial"/>
          <w:b/>
          <w:bCs/>
          <w:i/>
          <w:iCs/>
          <w:sz w:val="28"/>
          <w:szCs w:val="28"/>
          <w:lang w:val="el-GR"/>
        </w:rPr>
        <w:t xml:space="preserve">Θεοδώρου κ.ά. ν. Σ.Π.Ε. </w:t>
      </w:r>
      <w:r w:rsidRPr="003F5844">
        <w:rPr>
          <w:rFonts w:ascii="Bookman Old Style" w:hAnsi="Bookman Old Style" w:cs="Arial"/>
          <w:b/>
          <w:bCs/>
          <w:i/>
          <w:iCs/>
          <w:sz w:val="28"/>
          <w:szCs w:val="28"/>
          <w:lang w:val="el-GR"/>
        </w:rPr>
        <w:t xml:space="preserve">Μακράσυκας </w:t>
      </w:r>
      <w:hyperlink r:id="rId8" w:history="1">
        <w:r w:rsidRPr="003F5844">
          <w:rPr>
            <w:rFonts w:ascii="Bookman Old Style" w:hAnsi="Bookman Old Style" w:cs="Arial"/>
            <w:b/>
            <w:bCs/>
            <w:i/>
            <w:iCs/>
            <w:sz w:val="28"/>
            <w:szCs w:val="28"/>
            <w:lang w:val="el-GR"/>
          </w:rPr>
          <w:t xml:space="preserve">(2003) </w:t>
        </w:r>
        <w:r w:rsidR="00767EE1">
          <w:rPr>
            <w:rFonts w:ascii="Bookman Old Style" w:hAnsi="Bookman Old Style" w:cs="Arial"/>
            <w:b/>
            <w:bCs/>
            <w:i/>
            <w:iCs/>
            <w:sz w:val="28"/>
            <w:szCs w:val="28"/>
            <w:lang w:val="el-GR"/>
          </w:rPr>
          <w:t xml:space="preserve">                   </w:t>
        </w:r>
        <w:r w:rsidRPr="003F5844">
          <w:rPr>
            <w:rFonts w:ascii="Bookman Old Style" w:hAnsi="Bookman Old Style" w:cs="Arial"/>
            <w:b/>
            <w:bCs/>
            <w:i/>
            <w:iCs/>
            <w:sz w:val="28"/>
            <w:szCs w:val="28"/>
            <w:lang w:val="el-GR"/>
          </w:rPr>
          <w:t>1 Α.Α.Δ. 1305</w:t>
        </w:r>
      </w:hyperlink>
      <w:r w:rsidRPr="003F5844">
        <w:rPr>
          <w:rFonts w:ascii="Bookman Old Style" w:hAnsi="Bookman Old Style" w:cs="Arial"/>
          <w:sz w:val="28"/>
          <w:szCs w:val="28"/>
          <w:lang w:val="el-GR"/>
        </w:rPr>
        <w:t>,</w:t>
      </w:r>
      <w:r w:rsidRPr="0005037A">
        <w:rPr>
          <w:rFonts w:ascii="Bookman Old Style" w:hAnsi="Bookman Old Style" w:cs="Arial"/>
          <w:sz w:val="28"/>
          <w:szCs w:val="28"/>
          <w:lang w:val="el-GR"/>
        </w:rPr>
        <w:t xml:space="preserve"> σελ.</w:t>
      </w:r>
      <w:r w:rsidR="00767EE1">
        <w:rPr>
          <w:rFonts w:ascii="Bookman Old Style" w:hAnsi="Bookman Old Style" w:cs="Arial"/>
          <w:sz w:val="28"/>
          <w:szCs w:val="28"/>
          <w:lang w:val="el-GR"/>
        </w:rPr>
        <w:t xml:space="preserve"> </w:t>
      </w:r>
      <w:r w:rsidRPr="0005037A">
        <w:rPr>
          <w:rFonts w:ascii="Bookman Old Style" w:hAnsi="Bookman Old Style" w:cs="Arial"/>
          <w:sz w:val="28"/>
          <w:szCs w:val="28"/>
          <w:lang w:val="el-GR"/>
        </w:rPr>
        <w:t>1312).</w:t>
      </w:r>
      <w:r w:rsidRPr="0005037A">
        <w:rPr>
          <w:rFonts w:ascii="Bookman Old Style" w:hAnsi="Bookman Old Style" w:cs="Arial"/>
          <w:sz w:val="28"/>
          <w:szCs w:val="28"/>
        </w:rPr>
        <w:t> </w:t>
      </w:r>
      <w:r w:rsidRPr="0005037A">
        <w:rPr>
          <w:rFonts w:ascii="Bookman Old Style" w:hAnsi="Bookman Old Style" w:cs="Arial"/>
          <w:sz w:val="28"/>
          <w:szCs w:val="28"/>
          <w:lang w:val="el-GR"/>
        </w:rPr>
        <w:t>Εναπόκειται δε στον εναγόμενο να αποδείξει, στη βάση του ισοζυγίου των πιθανοτήτων, ότι αυτός δεν έχει λάβει πραγματική γνώση της εναντίον του αγωγής</w:t>
      </w:r>
      <w:r w:rsidR="00A96EBC">
        <w:rPr>
          <w:rFonts w:ascii="Bookman Old Style" w:hAnsi="Bookman Old Style" w:cs="Arial"/>
          <w:sz w:val="28"/>
          <w:szCs w:val="28"/>
          <w:lang w:val="el-GR"/>
        </w:rPr>
        <w:t xml:space="preserve"> (βλ.</w:t>
      </w:r>
      <w:r w:rsidR="00A96EBC" w:rsidRPr="00A96EBC">
        <w:rPr>
          <w:rFonts w:ascii="Bookman Old Style" w:hAnsi="Bookman Old Style"/>
          <w:b/>
          <w:bCs/>
          <w:i/>
          <w:iCs/>
          <w:sz w:val="28"/>
          <w:szCs w:val="28"/>
          <w:lang w:val="el-GR"/>
        </w:rPr>
        <w:t xml:space="preserve"> </w:t>
      </w:r>
      <w:r w:rsidR="00A96EBC" w:rsidRPr="00A96EBC">
        <w:rPr>
          <w:rFonts w:ascii="Bookman Old Style" w:hAnsi="Bookman Old Style" w:cs="Arial"/>
          <w:b/>
          <w:bCs/>
          <w:i/>
          <w:iCs/>
          <w:sz w:val="28"/>
          <w:szCs w:val="28"/>
          <w:lang w:val="el-GR"/>
        </w:rPr>
        <w:t xml:space="preserve">Γεώργιος Δανιήλ </w:t>
      </w:r>
      <w:r w:rsidR="00A96EBC" w:rsidRPr="00A96EBC">
        <w:rPr>
          <w:rFonts w:ascii="Bookman Old Style" w:hAnsi="Bookman Old Style" w:cs="Arial"/>
          <w:b/>
          <w:bCs/>
          <w:i/>
          <w:iCs/>
          <w:sz w:val="28"/>
          <w:szCs w:val="28"/>
          <w:lang w:val="en-US"/>
        </w:rPr>
        <w:t>v</w:t>
      </w:r>
      <w:r w:rsidR="00A96EBC" w:rsidRPr="00A96EBC">
        <w:rPr>
          <w:rFonts w:ascii="Bookman Old Style" w:hAnsi="Bookman Old Style" w:cs="Arial"/>
          <w:b/>
          <w:bCs/>
          <w:i/>
          <w:iCs/>
          <w:sz w:val="28"/>
          <w:szCs w:val="28"/>
          <w:lang w:val="el-GR"/>
        </w:rPr>
        <w:t xml:space="preserve">. </w:t>
      </w:r>
      <w:r w:rsidR="00A96EBC" w:rsidRPr="00A96EBC">
        <w:rPr>
          <w:rFonts w:ascii="Bookman Old Style" w:hAnsi="Bookman Old Style" w:cs="Arial"/>
          <w:b/>
          <w:bCs/>
          <w:i/>
          <w:iCs/>
          <w:sz w:val="28"/>
          <w:szCs w:val="28"/>
          <w:lang w:val="en-US"/>
        </w:rPr>
        <w:t>E</w:t>
      </w:r>
      <w:r w:rsidR="00A96EBC" w:rsidRPr="00A96EBC">
        <w:rPr>
          <w:rFonts w:ascii="Bookman Old Style" w:hAnsi="Bookman Old Style" w:cs="Arial"/>
          <w:b/>
          <w:bCs/>
          <w:i/>
          <w:iCs/>
          <w:sz w:val="28"/>
          <w:szCs w:val="28"/>
          <w:lang w:val="el-GR"/>
        </w:rPr>
        <w:t>λληνικής Τράπεζας Λτδ, Πολιτική Έφεση αρ. 340/2010, ημερ. 17/1/2017</w:t>
      </w:r>
      <w:r w:rsidR="00A96EBC">
        <w:rPr>
          <w:rFonts w:ascii="Bookman Old Style" w:hAnsi="Bookman Old Style" w:cs="Arial"/>
          <w:sz w:val="28"/>
          <w:szCs w:val="28"/>
          <w:lang w:val="el-GR"/>
        </w:rPr>
        <w:t>)</w:t>
      </w:r>
      <w:r w:rsidRPr="0005037A">
        <w:rPr>
          <w:rFonts w:ascii="Bookman Old Style" w:hAnsi="Bookman Old Style" w:cs="Arial"/>
          <w:sz w:val="28"/>
          <w:szCs w:val="28"/>
          <w:lang w:val="el-GR"/>
        </w:rPr>
        <w:t>.</w:t>
      </w:r>
      <w:r w:rsidRPr="0005037A">
        <w:rPr>
          <w:rFonts w:ascii="Bookman Old Style" w:hAnsi="Bookman Old Style" w:cs="Arial"/>
          <w:sz w:val="28"/>
          <w:szCs w:val="28"/>
        </w:rPr>
        <w:t> </w:t>
      </w:r>
    </w:p>
    <w:p w14:paraId="6DA11078" w14:textId="77777777" w:rsidR="0005037A" w:rsidRPr="0005037A" w:rsidRDefault="0005037A" w:rsidP="0005037A">
      <w:pPr>
        <w:spacing w:line="480" w:lineRule="auto"/>
        <w:ind w:right="-35"/>
        <w:jc w:val="both"/>
        <w:rPr>
          <w:rFonts w:ascii="Bookman Old Style" w:hAnsi="Bookman Old Style" w:cs="Arial"/>
          <w:sz w:val="28"/>
          <w:szCs w:val="28"/>
          <w:lang w:val="el-GR"/>
        </w:rPr>
      </w:pPr>
    </w:p>
    <w:p w14:paraId="29B6A3ED" w14:textId="6BC04EFA" w:rsidR="009D6B47" w:rsidRPr="00EE3C43" w:rsidRDefault="00CF52A8"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Στην υπό εξέταση περίπτωση η θέση του Εφεσείοντα</w:t>
      </w:r>
      <w:r w:rsidR="006B2B34">
        <w:rPr>
          <w:rFonts w:ascii="Bookman Old Style" w:hAnsi="Bookman Old Style" w:cs="Arial"/>
          <w:sz w:val="28"/>
          <w:szCs w:val="28"/>
          <w:lang w:val="el-GR"/>
        </w:rPr>
        <w:t>, όπως επισημάνθηκε ανωτέρω,</w:t>
      </w:r>
      <w:r>
        <w:rPr>
          <w:rFonts w:ascii="Bookman Old Style" w:hAnsi="Bookman Old Style" w:cs="Arial"/>
          <w:sz w:val="28"/>
          <w:szCs w:val="28"/>
          <w:lang w:val="el-GR"/>
        </w:rPr>
        <w:t xml:space="preserve"> </w:t>
      </w:r>
      <w:r w:rsidR="006B2B34">
        <w:rPr>
          <w:rFonts w:ascii="Bookman Old Style" w:hAnsi="Bookman Old Style" w:cs="Arial"/>
          <w:sz w:val="28"/>
          <w:szCs w:val="28"/>
          <w:lang w:val="el-GR"/>
        </w:rPr>
        <w:t>ήταν ότι</w:t>
      </w:r>
      <w:r>
        <w:rPr>
          <w:rFonts w:ascii="Bookman Old Style" w:hAnsi="Bookman Old Style" w:cs="Arial"/>
          <w:sz w:val="28"/>
          <w:szCs w:val="28"/>
          <w:lang w:val="el-GR"/>
        </w:rPr>
        <w:t xml:space="preserve"> δεν είχε ενημερωθεί από τον αδελφό του για την επίδοση με</w:t>
      </w:r>
      <w:r w:rsidR="00AC1A6E">
        <w:rPr>
          <w:rFonts w:ascii="Bookman Old Style" w:hAnsi="Bookman Old Style" w:cs="Arial"/>
          <w:sz w:val="28"/>
          <w:szCs w:val="28"/>
          <w:lang w:val="el-GR"/>
        </w:rPr>
        <w:t>,</w:t>
      </w:r>
      <w:r>
        <w:rPr>
          <w:rFonts w:ascii="Bookman Old Style" w:hAnsi="Bookman Old Style" w:cs="Arial"/>
          <w:sz w:val="28"/>
          <w:szCs w:val="28"/>
          <w:lang w:val="el-GR"/>
        </w:rPr>
        <w:t xml:space="preserve"> συνεπακόλουθο</w:t>
      </w:r>
      <w:r w:rsidR="00AC1A6E">
        <w:rPr>
          <w:rFonts w:ascii="Bookman Old Style" w:hAnsi="Bookman Old Style" w:cs="Arial"/>
          <w:sz w:val="28"/>
          <w:szCs w:val="28"/>
          <w:lang w:val="el-GR"/>
        </w:rPr>
        <w:t>,</w:t>
      </w:r>
      <w:r>
        <w:rPr>
          <w:rFonts w:ascii="Bookman Old Style" w:hAnsi="Bookman Old Style" w:cs="Arial"/>
          <w:sz w:val="28"/>
          <w:szCs w:val="28"/>
          <w:lang w:val="el-GR"/>
        </w:rPr>
        <w:t xml:space="preserve"> να μην λάβει γνώση για την υπόθεση και τη διαδικασία που αυτή αφορούσε</w:t>
      </w:r>
      <w:r w:rsidR="00A96EBC">
        <w:rPr>
          <w:rFonts w:ascii="Bookman Old Style" w:hAnsi="Bookman Old Style" w:cs="Arial"/>
          <w:sz w:val="28"/>
          <w:szCs w:val="28"/>
          <w:lang w:val="el-GR"/>
        </w:rPr>
        <w:t>. Για το ζήτημα αυτό υπήρχαν από τη μια η ένορκη δήλωση του Εφεσείοντα στην οποία δήλωνε</w:t>
      </w:r>
      <w:r w:rsidR="00AC1A6E">
        <w:rPr>
          <w:rFonts w:ascii="Bookman Old Style" w:hAnsi="Bookman Old Style" w:cs="Arial"/>
          <w:sz w:val="28"/>
          <w:szCs w:val="28"/>
          <w:lang w:val="el-GR"/>
        </w:rPr>
        <w:t>,</w:t>
      </w:r>
      <w:r w:rsidR="00AC1A6E" w:rsidRPr="00AC1A6E">
        <w:rPr>
          <w:rFonts w:ascii="Bookman Old Style" w:hAnsi="Bookman Old Style" w:cs="Arial"/>
          <w:sz w:val="28"/>
          <w:szCs w:val="28"/>
          <w:lang w:val="el-GR"/>
        </w:rPr>
        <w:t xml:space="preserve"> </w:t>
      </w:r>
      <w:r w:rsidR="00AC1A6E">
        <w:rPr>
          <w:rFonts w:ascii="Bookman Old Style" w:hAnsi="Bookman Old Style" w:cs="Arial"/>
          <w:sz w:val="28"/>
          <w:szCs w:val="28"/>
          <w:lang w:val="el-GR"/>
        </w:rPr>
        <w:t>ακριβώς,</w:t>
      </w:r>
      <w:r w:rsidR="00A96EBC">
        <w:rPr>
          <w:rFonts w:ascii="Bookman Old Style" w:hAnsi="Bookman Old Style" w:cs="Arial"/>
          <w:sz w:val="28"/>
          <w:szCs w:val="28"/>
          <w:lang w:val="el-GR"/>
        </w:rPr>
        <w:t xml:space="preserve"> τα πιο πάνω και</w:t>
      </w:r>
      <w:r w:rsidR="008418AB">
        <w:rPr>
          <w:rFonts w:ascii="Bookman Old Style" w:hAnsi="Bookman Old Style" w:cs="Arial"/>
          <w:sz w:val="28"/>
          <w:szCs w:val="28"/>
          <w:lang w:val="el-GR"/>
        </w:rPr>
        <w:t xml:space="preserve"> από την άλλη</w:t>
      </w:r>
      <w:r w:rsidR="00A96EBC">
        <w:rPr>
          <w:rFonts w:ascii="Bookman Old Style" w:hAnsi="Bookman Old Style" w:cs="Arial"/>
          <w:sz w:val="28"/>
          <w:szCs w:val="28"/>
          <w:lang w:val="el-GR"/>
        </w:rPr>
        <w:t xml:space="preserve"> η ένορκη δήλωση της Στάλως Μαρδαπήττα η οποία ευρίσκετο στην υπηρεσία των Εφεσιβλήτων υπό την ιδιότητα της Υ</w:t>
      </w:r>
      <w:r w:rsidR="006B2B34">
        <w:rPr>
          <w:rFonts w:ascii="Bookman Old Style" w:hAnsi="Bookman Old Style" w:cs="Arial"/>
          <w:sz w:val="28"/>
          <w:szCs w:val="28"/>
          <w:lang w:val="el-GR"/>
        </w:rPr>
        <w:t>πεύθυνης</w:t>
      </w:r>
      <w:r w:rsidR="00A96EBC">
        <w:rPr>
          <w:rFonts w:ascii="Bookman Old Style" w:hAnsi="Bookman Old Style" w:cs="Arial"/>
          <w:sz w:val="28"/>
          <w:szCs w:val="28"/>
          <w:lang w:val="el-GR"/>
        </w:rPr>
        <w:t xml:space="preserve"> στο Τμήμα Ανάκτησης των Χρεών</w:t>
      </w:r>
      <w:r w:rsidR="006B2B34">
        <w:rPr>
          <w:rFonts w:ascii="Bookman Old Style" w:hAnsi="Bookman Old Style" w:cs="Arial"/>
          <w:sz w:val="28"/>
          <w:szCs w:val="28"/>
          <w:lang w:val="el-GR"/>
        </w:rPr>
        <w:t xml:space="preserve">. Το πρωτόδικο Δικαστήριο </w:t>
      </w:r>
      <w:r w:rsidR="006B2B34" w:rsidRPr="00AE24CA">
        <w:rPr>
          <w:rFonts w:ascii="Bookman Old Style" w:hAnsi="Bookman Old Style" w:cs="Arial"/>
          <w:sz w:val="28"/>
          <w:szCs w:val="28"/>
          <w:lang w:val="el-GR"/>
        </w:rPr>
        <w:t xml:space="preserve">θεώρησε ότι </w:t>
      </w:r>
      <w:r w:rsidR="0097440E" w:rsidRPr="00AE24CA">
        <w:rPr>
          <w:rFonts w:ascii="Bookman Old Style" w:hAnsi="Bookman Old Style" w:cs="Arial"/>
          <w:sz w:val="28"/>
          <w:szCs w:val="28"/>
          <w:lang w:val="el-GR"/>
        </w:rPr>
        <w:t>με μόνη την</w:t>
      </w:r>
      <w:r w:rsidR="006B2B34" w:rsidRPr="00AE24CA">
        <w:rPr>
          <w:rFonts w:ascii="Bookman Old Style" w:hAnsi="Bookman Old Style" w:cs="Arial"/>
          <w:sz w:val="28"/>
          <w:szCs w:val="28"/>
          <w:lang w:val="el-GR"/>
        </w:rPr>
        <w:t xml:space="preserve"> αμφισβήτηση από τους Εφεσίβλητους της πιο πάνω </w:t>
      </w:r>
      <w:r w:rsidR="006B2B34">
        <w:rPr>
          <w:rFonts w:ascii="Bookman Old Style" w:hAnsi="Bookman Old Style" w:cs="Arial"/>
          <w:sz w:val="28"/>
          <w:szCs w:val="28"/>
          <w:lang w:val="el-GR"/>
        </w:rPr>
        <w:t>θέσης χωρίς, προφανώς οποιαδήποτε άλλη μαρτυρία ενώπιον του</w:t>
      </w:r>
      <w:r w:rsidR="00AC1A6E">
        <w:rPr>
          <w:rFonts w:ascii="Bookman Old Style" w:hAnsi="Bookman Old Style" w:cs="Arial"/>
          <w:sz w:val="28"/>
          <w:szCs w:val="28"/>
          <w:lang w:val="el-GR"/>
        </w:rPr>
        <w:t xml:space="preserve"> η οποία να την αντικρούει</w:t>
      </w:r>
      <w:r w:rsidR="006B2B34">
        <w:rPr>
          <w:rFonts w:ascii="Bookman Old Style" w:hAnsi="Bookman Old Style" w:cs="Arial"/>
          <w:sz w:val="28"/>
          <w:szCs w:val="28"/>
          <w:lang w:val="el-GR"/>
        </w:rPr>
        <w:t xml:space="preserve">, άφηνε τη θέση του Εφεσείοντα περί έλλειψης </w:t>
      </w:r>
      <w:r w:rsidR="006B2B34" w:rsidRPr="00EE3C43">
        <w:rPr>
          <w:rFonts w:ascii="Bookman Old Style" w:hAnsi="Bookman Old Style" w:cs="Arial"/>
          <w:sz w:val="28"/>
          <w:szCs w:val="28"/>
          <w:lang w:val="el-GR"/>
        </w:rPr>
        <w:t>ενημέρωσης</w:t>
      </w:r>
      <w:r w:rsidR="00A96EBC" w:rsidRPr="00EE3C43">
        <w:rPr>
          <w:rFonts w:ascii="Bookman Old Style" w:hAnsi="Bookman Old Style" w:cs="Arial"/>
          <w:sz w:val="28"/>
          <w:szCs w:val="28"/>
          <w:lang w:val="el-GR"/>
        </w:rPr>
        <w:t xml:space="preserve"> </w:t>
      </w:r>
      <w:r w:rsidR="006B2B34" w:rsidRPr="00EE3C43">
        <w:rPr>
          <w:rFonts w:ascii="Bookman Old Style" w:hAnsi="Bookman Old Style" w:cs="Arial"/>
          <w:sz w:val="28"/>
          <w:szCs w:val="28"/>
          <w:lang w:val="el-GR"/>
        </w:rPr>
        <w:t>«</w:t>
      </w:r>
      <w:r w:rsidR="006B2B34" w:rsidRPr="00EE3C43">
        <w:rPr>
          <w:rFonts w:ascii="Bookman Old Style" w:hAnsi="Bookman Old Style" w:cs="Arial"/>
          <w:i/>
          <w:iCs/>
          <w:sz w:val="28"/>
          <w:szCs w:val="28"/>
          <w:lang w:val="el-GR"/>
        </w:rPr>
        <w:t>εκτεθειμένη και έκθετη προς απόρριψη</w:t>
      </w:r>
      <w:r w:rsidR="006B2B34" w:rsidRPr="00EE3C43">
        <w:rPr>
          <w:rFonts w:ascii="Bookman Old Style" w:hAnsi="Bookman Old Style" w:cs="Arial"/>
          <w:sz w:val="28"/>
          <w:szCs w:val="28"/>
          <w:lang w:val="el-GR"/>
        </w:rPr>
        <w:t>».</w:t>
      </w:r>
      <w:r w:rsidR="00BB572F" w:rsidRPr="00EE3C43">
        <w:rPr>
          <w:rFonts w:ascii="Bookman Old Style" w:hAnsi="Bookman Old Style" w:cs="Arial"/>
          <w:sz w:val="28"/>
          <w:szCs w:val="28"/>
          <w:lang w:val="el-GR"/>
        </w:rPr>
        <w:t xml:space="preserve"> </w:t>
      </w:r>
      <w:r w:rsidR="00BB572F" w:rsidRPr="00EE3C43">
        <w:rPr>
          <w:rFonts w:ascii="Bookman Old Style" w:hAnsi="Bookman Old Style" w:cs="Arial"/>
          <w:sz w:val="28"/>
          <w:szCs w:val="28"/>
          <w:lang w:val="en-US"/>
        </w:rPr>
        <w:t>A</w:t>
      </w:r>
      <w:r w:rsidR="00BB572F" w:rsidRPr="00EE3C43">
        <w:rPr>
          <w:rFonts w:ascii="Bookman Old Style" w:hAnsi="Bookman Old Style" w:cs="Arial"/>
          <w:sz w:val="28"/>
          <w:szCs w:val="28"/>
          <w:lang w:val="el-GR"/>
        </w:rPr>
        <w:t>υτό ήταν σφάλμα.</w:t>
      </w:r>
      <w:r w:rsidR="0097440E" w:rsidRPr="00EE3C43">
        <w:rPr>
          <w:rFonts w:ascii="Bookman Old Style" w:hAnsi="Bookman Old Style" w:cs="Arial"/>
          <w:sz w:val="28"/>
          <w:szCs w:val="28"/>
          <w:lang w:val="el-GR"/>
        </w:rPr>
        <w:t xml:space="preserve"> Στη βάση της ενώπιον του μαρτυρίας και της μη αντίκρουσης της εκδοχής του Εφεσείοντα</w:t>
      </w:r>
      <w:r w:rsidR="0065535A">
        <w:rPr>
          <w:rFonts w:ascii="Bookman Old Style" w:hAnsi="Bookman Old Style" w:cs="Arial"/>
          <w:sz w:val="28"/>
          <w:szCs w:val="28"/>
          <w:lang w:val="el-GR"/>
        </w:rPr>
        <w:t>, είτε μέσω αντεξέτασης, είτε</w:t>
      </w:r>
      <w:r w:rsidR="0097440E" w:rsidRPr="00EE3C43">
        <w:rPr>
          <w:rFonts w:ascii="Bookman Old Style" w:hAnsi="Bookman Old Style" w:cs="Arial"/>
          <w:sz w:val="28"/>
          <w:szCs w:val="28"/>
          <w:lang w:val="el-GR"/>
        </w:rPr>
        <w:t xml:space="preserve"> με οποιαδήποτε άλλη μαρτυρία, η αξιολογική αυτή διεργασία του πρωτόδικου Δικαστηρίου και τα ευρήματα του δεν ήταν ευλόγως επιτρεπτά. Σ</w:t>
      </w:r>
      <w:r w:rsidR="00BB572F" w:rsidRPr="00EE3C43">
        <w:rPr>
          <w:rFonts w:ascii="Bookman Old Style" w:hAnsi="Bookman Old Style" w:cs="Arial"/>
          <w:sz w:val="28"/>
          <w:szCs w:val="28"/>
          <w:lang w:val="el-GR"/>
        </w:rPr>
        <w:t>φάλμα ήταν</w:t>
      </w:r>
      <w:r w:rsidR="0097440E" w:rsidRPr="00EE3C43">
        <w:rPr>
          <w:rFonts w:ascii="Bookman Old Style" w:hAnsi="Bookman Old Style" w:cs="Arial"/>
          <w:sz w:val="28"/>
          <w:szCs w:val="28"/>
          <w:lang w:val="el-GR"/>
        </w:rPr>
        <w:t>, επίσης, και το ότι</w:t>
      </w:r>
      <w:r w:rsidR="00BB572F" w:rsidRPr="00EE3C43">
        <w:rPr>
          <w:rFonts w:ascii="Bookman Old Style" w:hAnsi="Bookman Old Style" w:cs="Arial"/>
          <w:sz w:val="28"/>
          <w:szCs w:val="28"/>
          <w:lang w:val="el-GR"/>
        </w:rPr>
        <w:t xml:space="preserve"> εξάρτησε την ύπαρξη γνώσης με το γεγονός ότι η επίδοση έγινε στον αδελφό του Εφεσείοντα και</w:t>
      </w:r>
      <w:r w:rsidR="0097440E" w:rsidRPr="00EE3C43">
        <w:rPr>
          <w:rFonts w:ascii="Bookman Old Style" w:hAnsi="Bookman Old Style" w:cs="Arial"/>
          <w:sz w:val="28"/>
          <w:szCs w:val="28"/>
          <w:lang w:val="el-GR"/>
        </w:rPr>
        <w:t>,</w:t>
      </w:r>
      <w:r w:rsidR="00BB572F" w:rsidRPr="00EE3C43">
        <w:rPr>
          <w:rFonts w:ascii="Bookman Old Style" w:hAnsi="Bookman Old Style" w:cs="Arial"/>
          <w:sz w:val="28"/>
          <w:szCs w:val="28"/>
          <w:lang w:val="el-GR"/>
        </w:rPr>
        <w:t xml:space="preserve"> άρα</w:t>
      </w:r>
      <w:r w:rsidR="0097440E" w:rsidRPr="00EE3C43">
        <w:rPr>
          <w:rFonts w:ascii="Bookman Old Style" w:hAnsi="Bookman Old Style" w:cs="Arial"/>
          <w:sz w:val="28"/>
          <w:szCs w:val="28"/>
          <w:lang w:val="el-GR"/>
        </w:rPr>
        <w:t>,</w:t>
      </w:r>
      <w:r w:rsidR="00BB572F" w:rsidRPr="00EE3C43">
        <w:rPr>
          <w:rFonts w:ascii="Bookman Old Style" w:hAnsi="Bookman Old Style" w:cs="Arial"/>
          <w:sz w:val="28"/>
          <w:szCs w:val="28"/>
          <w:lang w:val="el-GR"/>
        </w:rPr>
        <w:t xml:space="preserve"> νομότυπα. Κατ</w:t>
      </w:r>
      <w:r w:rsidR="00BC6C7D">
        <w:rPr>
          <w:rFonts w:ascii="Bookman Old Style" w:hAnsi="Bookman Old Style" w:cs="Arial"/>
          <w:sz w:val="28"/>
          <w:szCs w:val="28"/>
          <w:lang w:val="el-GR"/>
        </w:rPr>
        <w:t xml:space="preserve">’ </w:t>
      </w:r>
      <w:r w:rsidR="00BB572F" w:rsidRPr="00EE3C43">
        <w:rPr>
          <w:rFonts w:ascii="Bookman Old Style" w:hAnsi="Bookman Old Style" w:cs="Arial"/>
          <w:sz w:val="28"/>
          <w:szCs w:val="28"/>
          <w:lang w:val="el-GR"/>
        </w:rPr>
        <w:t>ουσία</w:t>
      </w:r>
      <w:r w:rsidR="00BC6C7D">
        <w:rPr>
          <w:rFonts w:ascii="Bookman Old Style" w:hAnsi="Bookman Old Style" w:cs="Arial"/>
          <w:sz w:val="28"/>
          <w:szCs w:val="28"/>
          <w:lang w:val="el-GR"/>
        </w:rPr>
        <w:t>ν</w:t>
      </w:r>
      <w:r w:rsidR="00BB572F" w:rsidRPr="00EE3C43">
        <w:rPr>
          <w:rFonts w:ascii="Bookman Old Style" w:hAnsi="Bookman Old Style" w:cs="Arial"/>
          <w:sz w:val="28"/>
          <w:szCs w:val="28"/>
          <w:lang w:val="el-GR"/>
        </w:rPr>
        <w:t xml:space="preserve"> σύγχυσε</w:t>
      </w:r>
      <w:r w:rsidR="0097440E" w:rsidRPr="00EE3C43">
        <w:rPr>
          <w:rFonts w:ascii="Bookman Old Style" w:hAnsi="Bookman Old Style" w:cs="Arial"/>
          <w:sz w:val="28"/>
          <w:szCs w:val="28"/>
          <w:lang w:val="el-GR"/>
        </w:rPr>
        <w:t xml:space="preserve"> ή, καλύτερα, ταύτισε</w:t>
      </w:r>
      <w:r w:rsidR="00BB572F" w:rsidRPr="00EE3C43">
        <w:rPr>
          <w:rFonts w:ascii="Bookman Old Style" w:hAnsi="Bookman Old Style" w:cs="Arial"/>
          <w:sz w:val="28"/>
          <w:szCs w:val="28"/>
          <w:lang w:val="el-GR"/>
        </w:rPr>
        <w:t xml:space="preserve"> το νομότυπο μιας επίδοσης με το ουσιαστικό ζήτημα</w:t>
      </w:r>
      <w:r w:rsidR="008418AB" w:rsidRPr="00EE3C43">
        <w:rPr>
          <w:rFonts w:ascii="Bookman Old Style" w:hAnsi="Bookman Old Style" w:cs="Arial"/>
          <w:sz w:val="28"/>
          <w:szCs w:val="28"/>
          <w:lang w:val="el-GR"/>
        </w:rPr>
        <w:t xml:space="preserve"> που εγείρετο, εν προκειμένω, ήτοι</w:t>
      </w:r>
      <w:r w:rsidR="00BB572F" w:rsidRPr="00EE3C43">
        <w:rPr>
          <w:rFonts w:ascii="Bookman Old Style" w:hAnsi="Bookman Old Style" w:cs="Arial"/>
          <w:sz w:val="28"/>
          <w:szCs w:val="28"/>
          <w:lang w:val="el-GR"/>
        </w:rPr>
        <w:t xml:space="preserve"> του κατά πόσο </w:t>
      </w:r>
      <w:r w:rsidR="009A6EC2" w:rsidRPr="00EE3C43">
        <w:rPr>
          <w:rFonts w:ascii="Bookman Old Style" w:hAnsi="Bookman Old Style" w:cs="Arial"/>
          <w:sz w:val="28"/>
          <w:szCs w:val="28"/>
          <w:lang w:val="el-GR"/>
        </w:rPr>
        <w:t>η δικαστική διαδικασία</w:t>
      </w:r>
      <w:r w:rsidR="0097440E" w:rsidRPr="00EE3C43">
        <w:rPr>
          <w:rFonts w:ascii="Bookman Old Style" w:hAnsi="Bookman Old Style" w:cs="Arial"/>
          <w:sz w:val="28"/>
          <w:szCs w:val="28"/>
          <w:lang w:val="el-GR"/>
        </w:rPr>
        <w:t xml:space="preserve"> πράγματι</w:t>
      </w:r>
      <w:r w:rsidR="00BB572F" w:rsidRPr="00EE3C43">
        <w:rPr>
          <w:rFonts w:ascii="Bookman Old Style" w:hAnsi="Bookman Old Style" w:cs="Arial"/>
          <w:sz w:val="28"/>
          <w:szCs w:val="28"/>
          <w:lang w:val="el-GR"/>
        </w:rPr>
        <w:t xml:space="preserve"> </w:t>
      </w:r>
      <w:r w:rsidR="0097440E" w:rsidRPr="00EE3C43">
        <w:rPr>
          <w:rFonts w:ascii="Bookman Old Style" w:hAnsi="Bookman Old Style" w:cs="Arial"/>
          <w:sz w:val="28"/>
          <w:szCs w:val="28"/>
          <w:lang w:val="el-GR"/>
        </w:rPr>
        <w:t>περιήλθ</w:t>
      </w:r>
      <w:r w:rsidR="009A6EC2" w:rsidRPr="00EE3C43">
        <w:rPr>
          <w:rFonts w:ascii="Bookman Old Style" w:hAnsi="Bookman Old Style" w:cs="Arial"/>
          <w:sz w:val="28"/>
          <w:szCs w:val="28"/>
          <w:lang w:val="el-GR"/>
        </w:rPr>
        <w:t>ε</w:t>
      </w:r>
      <w:r w:rsidR="00BB572F" w:rsidRPr="00EE3C43">
        <w:rPr>
          <w:rFonts w:ascii="Bookman Old Style" w:hAnsi="Bookman Old Style" w:cs="Arial"/>
          <w:sz w:val="28"/>
          <w:szCs w:val="28"/>
          <w:lang w:val="el-GR"/>
        </w:rPr>
        <w:t xml:space="preserve"> σε γνώση του Εφεσείοντα. </w:t>
      </w:r>
    </w:p>
    <w:p w14:paraId="79AA6312" w14:textId="5070B4BA" w:rsidR="00BB572F" w:rsidRPr="00EE3C43" w:rsidRDefault="00BB572F" w:rsidP="00BB572F">
      <w:pPr>
        <w:spacing w:line="480" w:lineRule="auto"/>
        <w:ind w:right="-35"/>
        <w:jc w:val="both"/>
        <w:rPr>
          <w:rFonts w:ascii="Bookman Old Style" w:hAnsi="Bookman Old Style" w:cs="Arial"/>
          <w:color w:val="000000"/>
          <w:sz w:val="28"/>
          <w:szCs w:val="28"/>
          <w:lang w:val="el-GR"/>
        </w:rPr>
      </w:pPr>
      <w:r w:rsidRPr="00EE3C43">
        <w:rPr>
          <w:rFonts w:ascii="Bookman Old Style" w:hAnsi="Bookman Old Style" w:cs="Arial"/>
          <w:sz w:val="28"/>
          <w:szCs w:val="28"/>
          <w:lang w:val="el-GR"/>
        </w:rPr>
        <w:t>Στην</w:t>
      </w:r>
      <w:r w:rsidR="009A6EC2" w:rsidRPr="00EE3C43">
        <w:rPr>
          <w:rFonts w:ascii="Bookman Old Style" w:hAnsi="Bookman Old Style" w:cs="Arial"/>
          <w:sz w:val="28"/>
          <w:szCs w:val="28"/>
          <w:lang w:val="el-GR"/>
        </w:rPr>
        <w:t xml:space="preserve"> υπόθεση</w:t>
      </w:r>
      <w:r w:rsidRPr="00EE3C43">
        <w:rPr>
          <w:rFonts w:ascii="Bookman Old Style" w:hAnsi="Bookman Old Style" w:cs="Arial"/>
          <w:sz w:val="28"/>
          <w:szCs w:val="28"/>
          <w:lang w:val="el-GR"/>
        </w:rPr>
        <w:t xml:space="preserve"> </w:t>
      </w:r>
      <w:r w:rsidRPr="00EE3C43">
        <w:rPr>
          <w:rFonts w:ascii="Bookman Old Style" w:hAnsi="Bookman Old Style" w:cs="Arial"/>
          <w:b/>
          <w:bCs/>
          <w:i/>
          <w:iCs/>
          <w:sz w:val="28"/>
          <w:szCs w:val="28"/>
          <w:lang w:val="el-GR"/>
        </w:rPr>
        <w:t>Μανώλη ν</w:t>
      </w:r>
      <w:r w:rsidR="00495A48">
        <w:rPr>
          <w:rFonts w:ascii="Bookman Old Style" w:hAnsi="Bookman Old Style" w:cs="Arial"/>
          <w:b/>
          <w:bCs/>
          <w:i/>
          <w:iCs/>
          <w:sz w:val="28"/>
          <w:szCs w:val="28"/>
          <w:lang w:val="el-GR"/>
        </w:rPr>
        <w:t>.</w:t>
      </w:r>
      <w:r w:rsidRPr="00EE3C43">
        <w:rPr>
          <w:rFonts w:ascii="Bookman Old Style" w:hAnsi="Bookman Old Style" w:cs="Arial"/>
          <w:b/>
          <w:bCs/>
          <w:i/>
          <w:iCs/>
          <w:sz w:val="28"/>
          <w:szCs w:val="28"/>
          <w:lang w:val="el-GR"/>
        </w:rPr>
        <w:t xml:space="preserve"> Ελληνικής Τράπεζας (Χρηματοδοτήσεις) Λτδ</w:t>
      </w:r>
      <w:r w:rsidRPr="00EE3C43">
        <w:rPr>
          <w:rFonts w:ascii="Bookman Old Style" w:hAnsi="Bookman Old Style" w:cs="Arial"/>
          <w:b/>
          <w:bCs/>
          <w:sz w:val="28"/>
          <w:szCs w:val="28"/>
          <w:lang w:val="el-GR"/>
        </w:rPr>
        <w:t xml:space="preserve">, </w:t>
      </w:r>
      <w:r w:rsidRPr="00495A48">
        <w:rPr>
          <w:rFonts w:ascii="Bookman Old Style" w:hAnsi="Bookman Old Style" w:cs="Arial"/>
          <w:b/>
          <w:bCs/>
          <w:i/>
          <w:iCs/>
          <w:sz w:val="28"/>
          <w:szCs w:val="28"/>
          <w:lang w:val="el-GR"/>
        </w:rPr>
        <w:t>Πολιτική Έφεση αρ. 423/</w:t>
      </w:r>
      <w:r w:rsidR="00495A48">
        <w:rPr>
          <w:rFonts w:ascii="Bookman Old Style" w:hAnsi="Bookman Old Style" w:cs="Arial"/>
          <w:b/>
          <w:bCs/>
          <w:i/>
          <w:iCs/>
          <w:sz w:val="28"/>
          <w:szCs w:val="28"/>
          <w:lang w:val="el-GR"/>
        </w:rPr>
        <w:t>20</w:t>
      </w:r>
      <w:r w:rsidRPr="00495A48">
        <w:rPr>
          <w:rFonts w:ascii="Bookman Old Style" w:hAnsi="Bookman Old Style" w:cs="Arial"/>
          <w:b/>
          <w:bCs/>
          <w:i/>
          <w:iCs/>
          <w:sz w:val="28"/>
          <w:szCs w:val="28"/>
          <w:lang w:val="el-GR"/>
        </w:rPr>
        <w:t>11, ημερ. 3</w:t>
      </w:r>
      <w:r w:rsidR="009A6EC2" w:rsidRPr="00495A48">
        <w:rPr>
          <w:rFonts w:ascii="Bookman Old Style" w:hAnsi="Bookman Old Style" w:cs="Arial"/>
          <w:b/>
          <w:bCs/>
          <w:i/>
          <w:iCs/>
          <w:sz w:val="28"/>
          <w:szCs w:val="28"/>
          <w:lang w:val="el-GR"/>
        </w:rPr>
        <w:t>/</w:t>
      </w:r>
      <w:r w:rsidRPr="00495A48">
        <w:rPr>
          <w:rFonts w:ascii="Bookman Old Style" w:hAnsi="Bookman Old Style" w:cs="Arial"/>
          <w:b/>
          <w:bCs/>
          <w:i/>
          <w:iCs/>
          <w:sz w:val="28"/>
          <w:szCs w:val="28"/>
          <w:lang w:val="el-GR"/>
        </w:rPr>
        <w:t>2</w:t>
      </w:r>
      <w:r w:rsidR="009A6EC2" w:rsidRPr="00495A48">
        <w:rPr>
          <w:rFonts w:ascii="Bookman Old Style" w:hAnsi="Bookman Old Style" w:cs="Arial"/>
          <w:b/>
          <w:bCs/>
          <w:i/>
          <w:iCs/>
          <w:sz w:val="28"/>
          <w:szCs w:val="28"/>
          <w:lang w:val="el-GR"/>
        </w:rPr>
        <w:t>/20</w:t>
      </w:r>
      <w:r w:rsidRPr="00495A48">
        <w:rPr>
          <w:rFonts w:ascii="Bookman Old Style" w:hAnsi="Bookman Old Style" w:cs="Arial"/>
          <w:b/>
          <w:bCs/>
          <w:i/>
          <w:iCs/>
          <w:sz w:val="28"/>
          <w:szCs w:val="28"/>
          <w:lang w:val="el-GR"/>
        </w:rPr>
        <w:t>17</w:t>
      </w:r>
      <w:r w:rsidRPr="00EE3C43">
        <w:rPr>
          <w:rFonts w:ascii="Bookman Old Style" w:hAnsi="Bookman Old Style" w:cs="Arial"/>
          <w:sz w:val="28"/>
          <w:szCs w:val="28"/>
          <w:lang w:val="el-GR"/>
        </w:rPr>
        <w:t xml:space="preserve">, όπου έτυχε παραμερισμού ερήμην εκδοθείσα απόφαση εναντίον του εφεσείοντα </w:t>
      </w:r>
      <w:r w:rsidR="009A6EC2" w:rsidRPr="00EE3C43">
        <w:rPr>
          <w:rFonts w:ascii="Bookman Old Style" w:hAnsi="Bookman Old Style" w:cs="Arial"/>
          <w:sz w:val="28"/>
          <w:szCs w:val="28"/>
          <w:lang w:val="el-GR"/>
        </w:rPr>
        <w:t>συμφώνως των προνοιών</w:t>
      </w:r>
      <w:r w:rsidRPr="00EE3C43">
        <w:rPr>
          <w:rFonts w:ascii="Bookman Old Style" w:hAnsi="Bookman Old Style" w:cs="Arial"/>
          <w:sz w:val="28"/>
          <w:szCs w:val="28"/>
          <w:lang w:val="el-GR"/>
        </w:rPr>
        <w:t xml:space="preserve"> </w:t>
      </w:r>
      <w:r w:rsidR="00495A48">
        <w:rPr>
          <w:rFonts w:ascii="Bookman Old Style" w:hAnsi="Bookman Old Style" w:cs="Arial"/>
          <w:sz w:val="28"/>
          <w:szCs w:val="28"/>
          <w:lang w:val="el-GR"/>
        </w:rPr>
        <w:t xml:space="preserve">της </w:t>
      </w:r>
      <w:r w:rsidR="00495A48" w:rsidRPr="00AE24CA">
        <w:rPr>
          <w:rFonts w:ascii="Bookman Old Style" w:hAnsi="Bookman Old Style" w:cs="Arial"/>
          <w:b/>
          <w:bCs/>
          <w:sz w:val="28"/>
          <w:szCs w:val="28"/>
          <w:lang w:val="el-GR"/>
        </w:rPr>
        <w:t xml:space="preserve">Δ.17, </w:t>
      </w:r>
      <w:r w:rsidR="009A6EC2" w:rsidRPr="00AE24CA">
        <w:rPr>
          <w:rFonts w:ascii="Bookman Old Style" w:hAnsi="Bookman Old Style" w:cs="Arial"/>
          <w:b/>
          <w:bCs/>
          <w:sz w:val="28"/>
          <w:szCs w:val="28"/>
          <w:lang w:val="el-GR"/>
        </w:rPr>
        <w:t>θ.</w:t>
      </w:r>
      <w:r w:rsidRPr="00AE24CA">
        <w:rPr>
          <w:rFonts w:ascii="Bookman Old Style" w:hAnsi="Bookman Old Style" w:cs="Arial"/>
          <w:b/>
          <w:bCs/>
          <w:sz w:val="28"/>
          <w:szCs w:val="28"/>
          <w:lang w:val="el-GR"/>
        </w:rPr>
        <w:t xml:space="preserve">10 των </w:t>
      </w:r>
      <w:r w:rsidR="00AE24CA" w:rsidRPr="00AE24CA">
        <w:rPr>
          <w:rFonts w:ascii="Bookman Old Style" w:hAnsi="Bookman Old Style" w:cs="Arial"/>
          <w:b/>
          <w:bCs/>
          <w:sz w:val="28"/>
          <w:szCs w:val="28"/>
          <w:lang w:val="el-GR"/>
        </w:rPr>
        <w:t>π</w:t>
      </w:r>
      <w:r w:rsidRPr="00AE24CA">
        <w:rPr>
          <w:rFonts w:ascii="Bookman Old Style" w:hAnsi="Bookman Old Style" w:cs="Arial"/>
          <w:b/>
          <w:bCs/>
          <w:sz w:val="28"/>
          <w:szCs w:val="28"/>
          <w:lang w:val="el-GR"/>
        </w:rPr>
        <w:t>ερί Πολιτικής Δικονομίας Θεσμών</w:t>
      </w:r>
      <w:r w:rsidR="00AE24CA">
        <w:rPr>
          <w:rFonts w:ascii="Bookman Old Style" w:hAnsi="Bookman Old Style" w:cs="Arial"/>
          <w:sz w:val="28"/>
          <w:szCs w:val="28"/>
          <w:lang w:val="el-GR"/>
        </w:rPr>
        <w:t>,</w:t>
      </w:r>
      <w:r w:rsidRPr="00EE3C43">
        <w:rPr>
          <w:rFonts w:ascii="Bookman Old Style" w:hAnsi="Bookman Old Style" w:cs="Arial"/>
          <w:b/>
          <w:bCs/>
          <w:i/>
          <w:iCs/>
          <w:sz w:val="28"/>
          <w:szCs w:val="28"/>
          <w:lang w:val="el-GR"/>
        </w:rPr>
        <w:t xml:space="preserve"> </w:t>
      </w:r>
      <w:r w:rsidRPr="00EE3C43">
        <w:rPr>
          <w:rFonts w:ascii="Bookman Old Style" w:hAnsi="Bookman Old Style" w:cs="Arial"/>
          <w:sz w:val="28"/>
          <w:szCs w:val="28"/>
          <w:lang w:val="el-GR"/>
        </w:rPr>
        <w:t xml:space="preserve">καθότι το κλητήριο ένταλμα είχε επιδοθεί στον πατέρα του σε χώρο που δεν κατοικούσε </w:t>
      </w:r>
      <w:r w:rsidRPr="00EE3C43">
        <w:rPr>
          <w:rFonts w:ascii="Bookman Old Style" w:hAnsi="Bookman Old Style" w:cs="Arial"/>
          <w:color w:val="000000"/>
          <w:sz w:val="28"/>
          <w:szCs w:val="28"/>
          <w:lang w:val="el-GR"/>
        </w:rPr>
        <w:t>ο εφεσείων κατά την επίδοση, με τον πατέρα να μην τον ενημερώνει, το Εφετείο ανέφερε</w:t>
      </w:r>
      <w:r w:rsidR="009A6EC2" w:rsidRPr="00EE3C43">
        <w:rPr>
          <w:rFonts w:ascii="Bookman Old Style" w:hAnsi="Bookman Old Style" w:cs="Arial"/>
          <w:color w:val="000000"/>
          <w:sz w:val="28"/>
          <w:szCs w:val="28"/>
          <w:lang w:val="el-GR"/>
        </w:rPr>
        <w:t>, μεταξύ άλλων,</w:t>
      </w:r>
      <w:r w:rsidRPr="00EE3C43">
        <w:rPr>
          <w:rFonts w:ascii="Bookman Old Style" w:hAnsi="Bookman Old Style" w:cs="Arial"/>
          <w:color w:val="000000"/>
          <w:sz w:val="28"/>
          <w:szCs w:val="28"/>
          <w:lang w:val="el-GR"/>
        </w:rPr>
        <w:t xml:space="preserve"> και τα εξής:</w:t>
      </w:r>
    </w:p>
    <w:p w14:paraId="672187DC" w14:textId="77777777" w:rsidR="009A6EC2" w:rsidRPr="00EE3C43" w:rsidRDefault="009A6EC2" w:rsidP="00BB572F">
      <w:pPr>
        <w:spacing w:line="480" w:lineRule="auto"/>
        <w:ind w:right="-35"/>
        <w:jc w:val="both"/>
        <w:rPr>
          <w:rFonts w:ascii="Bookman Old Style" w:hAnsi="Bookman Old Style" w:cs="Arial"/>
          <w:sz w:val="28"/>
          <w:szCs w:val="28"/>
          <w:lang w:val="el-GR"/>
        </w:rPr>
      </w:pPr>
    </w:p>
    <w:p w14:paraId="18A7A64C" w14:textId="77777777" w:rsidR="00BB572F" w:rsidRPr="00EE3C43" w:rsidRDefault="00BB572F" w:rsidP="009A6EC2">
      <w:pPr>
        <w:spacing w:line="276" w:lineRule="auto"/>
        <w:ind w:left="426" w:right="248"/>
        <w:jc w:val="both"/>
        <w:rPr>
          <w:rFonts w:ascii="Bookman Old Style" w:hAnsi="Bookman Old Style"/>
          <w:sz w:val="26"/>
          <w:szCs w:val="26"/>
          <w:lang w:val="el-GR"/>
        </w:rPr>
      </w:pPr>
      <w:r w:rsidRPr="00EE3C43">
        <w:rPr>
          <w:rFonts w:ascii="Bookman Old Style" w:hAnsi="Bookman Old Style" w:cs="Arial"/>
          <w:sz w:val="28"/>
          <w:szCs w:val="28"/>
          <w:lang w:val="el-GR"/>
        </w:rPr>
        <w:t>«</w:t>
      </w:r>
      <w:r w:rsidRPr="00EE3C43">
        <w:rPr>
          <w:rFonts w:ascii="Bookman Old Style" w:hAnsi="Bookman Old Style" w:cs="Arial"/>
          <w:i/>
          <w:iCs/>
          <w:sz w:val="26"/>
          <w:szCs w:val="26"/>
          <w:lang w:val="el-GR"/>
        </w:rPr>
        <w:t xml:space="preserve">Παράδειγμα πρόκλησης ακυρότητας ως εκ της μη επίδοσης της διαδικασίας, η οποία ως εκ τούτου δεν περιέρχεται σε γνώση του εναγομένου, παρέχει η υπόθεση </w:t>
      </w:r>
      <w:r w:rsidRPr="00EE3C43">
        <w:rPr>
          <w:rFonts w:ascii="Bookman Old Style" w:hAnsi="Bookman Old Style" w:cs="Arial"/>
          <w:b/>
          <w:bCs/>
          <w:i/>
          <w:iCs/>
          <w:sz w:val="26"/>
          <w:szCs w:val="26"/>
        </w:rPr>
        <w:t>Craig</w:t>
      </w:r>
      <w:r w:rsidRPr="00EE3C43">
        <w:rPr>
          <w:rFonts w:ascii="Bookman Old Style" w:hAnsi="Bookman Old Style" w:cs="Arial"/>
          <w:b/>
          <w:bCs/>
          <w:i/>
          <w:iCs/>
          <w:sz w:val="26"/>
          <w:szCs w:val="26"/>
          <w:lang w:val="el-GR"/>
        </w:rPr>
        <w:t xml:space="preserve"> </w:t>
      </w:r>
      <w:r w:rsidRPr="00EE3C43">
        <w:rPr>
          <w:rFonts w:ascii="Bookman Old Style" w:hAnsi="Bookman Old Style" w:cs="Arial"/>
          <w:b/>
          <w:bCs/>
          <w:i/>
          <w:iCs/>
          <w:sz w:val="26"/>
          <w:szCs w:val="26"/>
        </w:rPr>
        <w:t>v</w:t>
      </w:r>
      <w:r w:rsidRPr="00EE3C43">
        <w:rPr>
          <w:rFonts w:ascii="Bookman Old Style" w:hAnsi="Bookman Old Style" w:cs="Arial"/>
          <w:b/>
          <w:bCs/>
          <w:i/>
          <w:iCs/>
          <w:sz w:val="26"/>
          <w:szCs w:val="26"/>
          <w:lang w:val="el-GR"/>
        </w:rPr>
        <w:t xml:space="preserve">. </w:t>
      </w:r>
      <w:r w:rsidRPr="00EE3C43">
        <w:rPr>
          <w:rFonts w:ascii="Bookman Old Style" w:hAnsi="Bookman Old Style" w:cs="Arial"/>
          <w:b/>
          <w:bCs/>
          <w:i/>
          <w:iCs/>
          <w:sz w:val="26"/>
          <w:szCs w:val="26"/>
        </w:rPr>
        <w:t>Kanssen</w:t>
      </w:r>
      <w:r w:rsidRPr="00EE3C43">
        <w:rPr>
          <w:rFonts w:ascii="Bookman Old Style" w:hAnsi="Bookman Old Style" w:cs="Arial"/>
          <w:b/>
          <w:bCs/>
          <w:i/>
          <w:iCs/>
          <w:sz w:val="26"/>
          <w:szCs w:val="26"/>
          <w:lang w:val="el-GR"/>
        </w:rPr>
        <w:t xml:space="preserve"> [1943] </w:t>
      </w:r>
      <w:r w:rsidRPr="00EE3C43">
        <w:rPr>
          <w:rFonts w:ascii="Bookman Old Style" w:hAnsi="Bookman Old Style" w:cs="Arial"/>
          <w:b/>
          <w:bCs/>
          <w:i/>
          <w:iCs/>
          <w:sz w:val="26"/>
          <w:szCs w:val="26"/>
        </w:rPr>
        <w:t>K</w:t>
      </w:r>
      <w:r w:rsidRPr="00EE3C43">
        <w:rPr>
          <w:rFonts w:ascii="Bookman Old Style" w:hAnsi="Bookman Old Style" w:cs="Arial"/>
          <w:b/>
          <w:bCs/>
          <w:i/>
          <w:iCs/>
          <w:sz w:val="26"/>
          <w:szCs w:val="26"/>
          <w:lang w:val="el-GR"/>
        </w:rPr>
        <w:t>.</w:t>
      </w:r>
      <w:r w:rsidRPr="00EE3C43">
        <w:rPr>
          <w:rFonts w:ascii="Bookman Old Style" w:hAnsi="Bookman Old Style" w:cs="Arial"/>
          <w:b/>
          <w:bCs/>
          <w:i/>
          <w:iCs/>
          <w:sz w:val="26"/>
          <w:szCs w:val="26"/>
        </w:rPr>
        <w:t>B</w:t>
      </w:r>
      <w:r w:rsidRPr="00EE3C43">
        <w:rPr>
          <w:rFonts w:ascii="Bookman Old Style" w:hAnsi="Bookman Old Style" w:cs="Arial"/>
          <w:b/>
          <w:bCs/>
          <w:i/>
          <w:iCs/>
          <w:sz w:val="26"/>
          <w:szCs w:val="26"/>
          <w:lang w:val="el-GR"/>
        </w:rPr>
        <w:t xml:space="preserve">. 256, [1943] 1 </w:t>
      </w:r>
      <w:r w:rsidRPr="00EE3C43">
        <w:rPr>
          <w:rFonts w:ascii="Bookman Old Style" w:hAnsi="Bookman Old Style" w:cs="Arial"/>
          <w:b/>
          <w:bCs/>
          <w:i/>
          <w:iCs/>
          <w:sz w:val="26"/>
          <w:szCs w:val="26"/>
        </w:rPr>
        <w:t>All</w:t>
      </w:r>
      <w:r w:rsidRPr="00EE3C43">
        <w:rPr>
          <w:rFonts w:ascii="Bookman Old Style" w:hAnsi="Bookman Old Style" w:cs="Arial"/>
          <w:b/>
          <w:bCs/>
          <w:i/>
          <w:iCs/>
          <w:sz w:val="26"/>
          <w:szCs w:val="26"/>
          <w:lang w:val="el-GR"/>
        </w:rPr>
        <w:t xml:space="preserve"> </w:t>
      </w:r>
      <w:r w:rsidRPr="00EE3C43">
        <w:rPr>
          <w:rFonts w:ascii="Bookman Old Style" w:hAnsi="Bookman Old Style" w:cs="Arial"/>
          <w:b/>
          <w:bCs/>
          <w:i/>
          <w:iCs/>
          <w:sz w:val="26"/>
          <w:szCs w:val="26"/>
        </w:rPr>
        <w:t>ER</w:t>
      </w:r>
      <w:r w:rsidRPr="00EE3C43">
        <w:rPr>
          <w:rFonts w:ascii="Bookman Old Style" w:hAnsi="Bookman Old Style" w:cs="Arial"/>
          <w:b/>
          <w:bCs/>
          <w:i/>
          <w:iCs/>
          <w:sz w:val="26"/>
          <w:szCs w:val="26"/>
          <w:lang w:val="el-GR"/>
        </w:rPr>
        <w:t xml:space="preserve"> 108,</w:t>
      </w:r>
      <w:r w:rsidRPr="00EE3C43">
        <w:rPr>
          <w:rFonts w:ascii="Bookman Old Style" w:hAnsi="Bookman Old Style" w:cs="Arial"/>
          <w:i/>
          <w:iCs/>
          <w:sz w:val="26"/>
          <w:szCs w:val="26"/>
          <w:lang w:val="el-GR"/>
        </w:rPr>
        <w:t xml:space="preserve"> στην οποία εξηγήθηκε ως κατωτέρω ο λόγος που η παράλειψη επίδοσης εγείρει θεμελιακό ζήτημα:</w:t>
      </w:r>
      <w:r w:rsidRPr="00EE3C43">
        <w:rPr>
          <w:rFonts w:ascii="Bookman Old Style" w:hAnsi="Bookman Old Style" w:cs="Arial"/>
          <w:sz w:val="26"/>
          <w:szCs w:val="26"/>
          <w:lang w:val="el-GR"/>
        </w:rPr>
        <w:t xml:space="preserve"> </w:t>
      </w:r>
    </w:p>
    <w:p w14:paraId="72A375B7" w14:textId="77777777" w:rsidR="00BB572F" w:rsidRPr="00EE3C43" w:rsidRDefault="00BB572F" w:rsidP="009A6EC2">
      <w:pPr>
        <w:spacing w:line="276" w:lineRule="auto"/>
        <w:jc w:val="both"/>
        <w:rPr>
          <w:rFonts w:ascii="Bookman Old Style" w:hAnsi="Bookman Old Style"/>
          <w:sz w:val="26"/>
          <w:szCs w:val="26"/>
          <w:lang w:val="el-GR"/>
        </w:rPr>
      </w:pPr>
      <w:r w:rsidRPr="00EE3C43">
        <w:rPr>
          <w:rFonts w:ascii="Bookman Old Style" w:hAnsi="Bookman Old Style" w:cs="Arial"/>
          <w:sz w:val="26"/>
          <w:szCs w:val="26"/>
        </w:rPr>
        <w:t> </w:t>
      </w:r>
    </w:p>
    <w:p w14:paraId="03E7F1F5" w14:textId="044B4868" w:rsidR="00BB572F" w:rsidRPr="00EE3C43" w:rsidRDefault="00C2202D" w:rsidP="009A6EC2">
      <w:pPr>
        <w:spacing w:line="276" w:lineRule="auto"/>
        <w:ind w:left="851" w:right="390"/>
        <w:jc w:val="both"/>
        <w:rPr>
          <w:rFonts w:ascii="Bookman Old Style" w:hAnsi="Bookman Old Style" w:cs="Arial"/>
          <w:i/>
          <w:iCs/>
          <w:color w:val="000000"/>
          <w:sz w:val="26"/>
          <w:szCs w:val="26"/>
          <w:shd w:val="clear" w:color="auto" w:fill="FFFFFF"/>
        </w:rPr>
      </w:pPr>
      <w:r w:rsidRPr="00C2202D">
        <w:rPr>
          <w:rFonts w:ascii="Bookman Old Style" w:hAnsi="Bookman Old Style" w:cs="Arial"/>
          <w:i/>
          <w:iCs/>
          <w:sz w:val="26"/>
          <w:szCs w:val="26"/>
          <w:lang w:val="en-US"/>
        </w:rPr>
        <w:t>“</w:t>
      </w:r>
      <w:r>
        <w:rPr>
          <w:rFonts w:ascii="Bookman Old Style" w:hAnsi="Bookman Old Style" w:cs="Arial"/>
          <w:i/>
          <w:iCs/>
          <w:sz w:val="26"/>
          <w:szCs w:val="26"/>
        </w:rPr>
        <w:t>…</w:t>
      </w:r>
      <w:r w:rsidR="00BB572F" w:rsidRPr="00EE3C43">
        <w:rPr>
          <w:rFonts w:ascii="Bookman Old Style" w:hAnsi="Bookman Old Style" w:cs="Arial"/>
          <w:i/>
          <w:iCs/>
          <w:sz w:val="26"/>
          <w:szCs w:val="26"/>
        </w:rPr>
        <w:t xml:space="preserve"> </w:t>
      </w:r>
      <w:r w:rsidR="00BB572F" w:rsidRPr="00EE3C43">
        <w:rPr>
          <w:rFonts w:ascii="Bookman Old Style" w:hAnsi="Bookman Old Style" w:cs="Arial"/>
          <w:i/>
          <w:iCs/>
          <w:color w:val="000000"/>
          <w:shd w:val="clear" w:color="auto" w:fill="FFFFFF"/>
        </w:rPr>
        <w:t>it is beyond question that failure to serve process where service of process is required goes to the root of our conceptions of the proper procedure in litigation. Apart from proper ex parte proceedings, the idea that an order can validly be made against a man who has had no notification of any intention to apply for it has never been adopted in this country</w:t>
      </w:r>
      <w:r w:rsidR="00BB572F" w:rsidRPr="00EE3C43">
        <w:rPr>
          <w:rFonts w:ascii="Bookman Old Style" w:hAnsi="Bookman Old Style" w:cs="Arial"/>
          <w:i/>
          <w:iCs/>
          <w:color w:val="000000"/>
          <w:sz w:val="26"/>
          <w:szCs w:val="26"/>
          <w:shd w:val="clear" w:color="auto" w:fill="FFFFFF"/>
        </w:rPr>
        <w:t>.</w:t>
      </w:r>
      <w:r>
        <w:rPr>
          <w:rFonts w:ascii="Bookman Old Style" w:hAnsi="Bookman Old Style" w:cs="Arial"/>
          <w:i/>
          <w:iCs/>
          <w:color w:val="000000"/>
          <w:sz w:val="26"/>
          <w:szCs w:val="26"/>
          <w:shd w:val="clear" w:color="auto" w:fill="FFFFFF"/>
        </w:rPr>
        <w:t>”</w:t>
      </w:r>
    </w:p>
    <w:p w14:paraId="2F1EF2CC" w14:textId="77777777" w:rsidR="009A6EC2" w:rsidRPr="00EE3C43" w:rsidRDefault="009A6EC2" w:rsidP="009A6EC2">
      <w:pPr>
        <w:spacing w:line="276" w:lineRule="auto"/>
        <w:ind w:left="851" w:right="390"/>
        <w:jc w:val="both"/>
        <w:rPr>
          <w:rFonts w:ascii="Bookman Old Style" w:hAnsi="Bookman Old Style"/>
          <w:sz w:val="26"/>
          <w:szCs w:val="26"/>
        </w:rPr>
      </w:pPr>
    </w:p>
    <w:p w14:paraId="7439FCDF" w14:textId="77777777" w:rsidR="00BB572F" w:rsidRPr="00EE3C43" w:rsidRDefault="00BB572F" w:rsidP="009A6EC2">
      <w:pPr>
        <w:spacing w:line="276" w:lineRule="auto"/>
        <w:ind w:left="426" w:right="248"/>
        <w:jc w:val="both"/>
        <w:rPr>
          <w:rFonts w:ascii="Bookman Old Style" w:hAnsi="Bookman Old Style"/>
          <w:i/>
          <w:iCs/>
          <w:sz w:val="26"/>
          <w:szCs w:val="26"/>
        </w:rPr>
      </w:pPr>
      <w:r w:rsidRPr="00EE3C43">
        <w:rPr>
          <w:rFonts w:ascii="Bookman Old Style" w:hAnsi="Bookman Old Style" w:cs="Arial"/>
          <w:i/>
          <w:iCs/>
          <w:sz w:val="26"/>
          <w:szCs w:val="26"/>
          <w:lang w:val="el-GR"/>
        </w:rPr>
        <w:t xml:space="preserve">Όπως εξηγήθηκε στην υπόθεση </w:t>
      </w:r>
      <w:r w:rsidRPr="00EE3C43">
        <w:rPr>
          <w:rFonts w:ascii="Bookman Old Style" w:hAnsi="Bookman Old Style" w:cs="Arial"/>
          <w:b/>
          <w:bCs/>
          <w:i/>
          <w:iCs/>
          <w:sz w:val="26"/>
          <w:szCs w:val="26"/>
        </w:rPr>
        <w:t>Pritchard</w:t>
      </w:r>
      <w:r w:rsidRPr="00EE3C43">
        <w:rPr>
          <w:rFonts w:ascii="Bookman Old Style" w:hAnsi="Bookman Old Style" w:cs="Arial"/>
          <w:i/>
          <w:iCs/>
          <w:sz w:val="26"/>
          <w:szCs w:val="26"/>
          <w:lang w:val="el-GR"/>
        </w:rPr>
        <w:t xml:space="preserve"> η φράση </w:t>
      </w:r>
      <w:r w:rsidRPr="00EE3C43">
        <w:rPr>
          <w:rFonts w:ascii="Bookman Old Style" w:hAnsi="Bookman Old Style" w:cs="Arial"/>
          <w:i/>
          <w:iCs/>
          <w:sz w:val="26"/>
          <w:szCs w:val="26"/>
        </w:rPr>
        <w:t>ex</w:t>
      </w:r>
      <w:r w:rsidRPr="00EE3C43">
        <w:rPr>
          <w:rFonts w:ascii="Bookman Old Style" w:hAnsi="Bookman Old Style" w:cs="Arial"/>
          <w:i/>
          <w:iCs/>
          <w:sz w:val="26"/>
          <w:szCs w:val="26"/>
          <w:lang w:val="el-GR"/>
        </w:rPr>
        <w:t xml:space="preserve"> </w:t>
      </w:r>
      <w:r w:rsidRPr="00EE3C43">
        <w:rPr>
          <w:rFonts w:ascii="Bookman Old Style" w:hAnsi="Bookman Old Style" w:cs="Arial"/>
          <w:i/>
          <w:iCs/>
          <w:sz w:val="26"/>
          <w:szCs w:val="26"/>
        </w:rPr>
        <w:t>debito</w:t>
      </w:r>
      <w:r w:rsidRPr="00EE3C43">
        <w:rPr>
          <w:rFonts w:ascii="Bookman Old Style" w:hAnsi="Bookman Old Style" w:cs="Arial"/>
          <w:i/>
          <w:iCs/>
          <w:sz w:val="26"/>
          <w:szCs w:val="26"/>
          <w:lang w:val="el-GR"/>
        </w:rPr>
        <w:t xml:space="preserve"> </w:t>
      </w:r>
      <w:r w:rsidRPr="00EE3C43">
        <w:rPr>
          <w:rFonts w:ascii="Bookman Old Style" w:hAnsi="Bookman Old Style" w:cs="Arial"/>
          <w:i/>
          <w:iCs/>
          <w:sz w:val="26"/>
          <w:szCs w:val="26"/>
        </w:rPr>
        <w:t>justitiae</w:t>
      </w:r>
      <w:r w:rsidRPr="00EE3C43">
        <w:rPr>
          <w:rFonts w:ascii="Bookman Old Style" w:hAnsi="Bookman Old Style" w:cs="Arial"/>
          <w:i/>
          <w:iCs/>
          <w:sz w:val="26"/>
          <w:szCs w:val="26"/>
          <w:lang w:val="el-GR"/>
        </w:rPr>
        <w:t xml:space="preserve"> δεν ταυτίζεται κατ΄ανάγκη με περιπτώσεις ακυρότητας, όπως αφέθηκε να νοηθεί στην υπόθεση </w:t>
      </w:r>
      <w:r w:rsidRPr="00EE3C43">
        <w:rPr>
          <w:rFonts w:ascii="Bookman Old Style" w:hAnsi="Bookman Old Style" w:cs="Arial"/>
          <w:b/>
          <w:bCs/>
          <w:i/>
          <w:iCs/>
          <w:sz w:val="26"/>
          <w:szCs w:val="26"/>
        </w:rPr>
        <w:t>Craig</w:t>
      </w:r>
      <w:r w:rsidRPr="00EE3C43">
        <w:rPr>
          <w:rFonts w:ascii="Bookman Old Style" w:hAnsi="Bookman Old Style" w:cs="Arial"/>
          <w:b/>
          <w:bCs/>
          <w:i/>
          <w:iCs/>
          <w:sz w:val="26"/>
          <w:szCs w:val="26"/>
          <w:lang w:val="el-GR"/>
        </w:rPr>
        <w:t xml:space="preserve">, </w:t>
      </w:r>
      <w:r w:rsidRPr="00EE3C43">
        <w:rPr>
          <w:rFonts w:ascii="Bookman Old Style" w:hAnsi="Bookman Old Style" w:cs="Arial"/>
          <w:i/>
          <w:iCs/>
          <w:sz w:val="26"/>
          <w:szCs w:val="26"/>
          <w:lang w:val="el-GR"/>
        </w:rPr>
        <w:t>αλλά καλύπτει κάθε περίπτωση που ο εναγόμενος νομιμοποιείται δικαιωματικά σε παραμερισμό.</w:t>
      </w:r>
      <w:r w:rsidRPr="00EE3C43">
        <w:rPr>
          <w:rFonts w:ascii="Bookman Old Style" w:hAnsi="Bookman Old Style" w:cs="Arial"/>
          <w:i/>
          <w:iCs/>
          <w:sz w:val="26"/>
          <w:szCs w:val="26"/>
        </w:rPr>
        <w:t> </w:t>
      </w:r>
      <w:r w:rsidRPr="00EE3C43">
        <w:rPr>
          <w:rFonts w:ascii="Bookman Old Style" w:hAnsi="Bookman Old Style" w:cs="Arial"/>
          <w:i/>
          <w:iCs/>
          <w:sz w:val="26"/>
          <w:szCs w:val="26"/>
          <w:lang w:val="el-GR"/>
        </w:rPr>
        <w:t xml:space="preserve"> </w:t>
      </w:r>
      <w:r w:rsidRPr="00EE3C43">
        <w:rPr>
          <w:rFonts w:ascii="Bookman Old Style" w:hAnsi="Bookman Old Style" w:cs="Arial"/>
          <w:i/>
          <w:iCs/>
          <w:sz w:val="26"/>
          <w:szCs w:val="26"/>
        </w:rPr>
        <w:t xml:space="preserve">Όπως το έθεσε ο Upjohn, L.J.: </w:t>
      </w:r>
    </w:p>
    <w:p w14:paraId="6FA6F20B" w14:textId="77777777" w:rsidR="00BB572F" w:rsidRPr="00EE3C43" w:rsidRDefault="00BB572F" w:rsidP="009A6EC2">
      <w:pPr>
        <w:spacing w:line="276" w:lineRule="auto"/>
        <w:jc w:val="both"/>
        <w:rPr>
          <w:rFonts w:ascii="Bookman Old Style" w:hAnsi="Bookman Old Style"/>
          <w:i/>
          <w:iCs/>
          <w:sz w:val="26"/>
          <w:szCs w:val="26"/>
        </w:rPr>
      </w:pPr>
      <w:r w:rsidRPr="00EE3C43">
        <w:rPr>
          <w:rFonts w:ascii="Bookman Old Style" w:hAnsi="Bookman Old Style" w:cs="Arial"/>
          <w:i/>
          <w:iCs/>
          <w:sz w:val="26"/>
          <w:szCs w:val="26"/>
        </w:rPr>
        <w:t> </w:t>
      </w:r>
    </w:p>
    <w:p w14:paraId="72A073B9" w14:textId="33258119" w:rsidR="00BB572F" w:rsidRPr="00EE3C43" w:rsidRDefault="00C2202D" w:rsidP="009A6EC2">
      <w:pPr>
        <w:spacing w:line="276" w:lineRule="auto"/>
        <w:ind w:left="851" w:right="390"/>
        <w:jc w:val="both"/>
        <w:rPr>
          <w:rFonts w:ascii="Bookman Old Style" w:hAnsi="Bookman Old Style" w:cs="Arial"/>
          <w:i/>
          <w:iCs/>
          <w:sz w:val="26"/>
          <w:szCs w:val="26"/>
        </w:rPr>
      </w:pPr>
      <w:r>
        <w:rPr>
          <w:rFonts w:ascii="Bookman Old Style" w:hAnsi="Bookman Old Style" w:cs="Arial"/>
          <w:i/>
          <w:iCs/>
          <w:sz w:val="26"/>
          <w:szCs w:val="26"/>
        </w:rPr>
        <w:t>“</w:t>
      </w:r>
      <w:r w:rsidR="00BB572F" w:rsidRPr="00EE3C43">
        <w:rPr>
          <w:rFonts w:ascii="Bookman Old Style" w:hAnsi="Bookman Old Style" w:cs="Arial"/>
          <w:i/>
          <w:iCs/>
        </w:rPr>
        <w:t>The phrase means that the [defendant] is entitled as a matter of right to have it set aside ... This means no more than that, in accordance with settled practice, the court can only exercise its discretion in one way, namely by granting the order sought</w:t>
      </w:r>
      <w:r w:rsidR="00BB572F" w:rsidRPr="00EE3C43">
        <w:rPr>
          <w:rFonts w:ascii="Bookman Old Style" w:hAnsi="Bookman Old Style" w:cs="Arial"/>
          <w:i/>
          <w:iCs/>
          <w:sz w:val="26"/>
          <w:szCs w:val="26"/>
        </w:rPr>
        <w:t>.</w:t>
      </w:r>
      <w:r>
        <w:rPr>
          <w:rFonts w:ascii="Bookman Old Style" w:hAnsi="Bookman Old Style" w:cs="Arial"/>
          <w:i/>
          <w:iCs/>
          <w:sz w:val="26"/>
          <w:szCs w:val="26"/>
        </w:rPr>
        <w:t>”</w:t>
      </w:r>
    </w:p>
    <w:p w14:paraId="23E3329B" w14:textId="77777777" w:rsidR="009A6EC2" w:rsidRPr="00EE3C43" w:rsidRDefault="009A6EC2" w:rsidP="009A6EC2">
      <w:pPr>
        <w:spacing w:line="276" w:lineRule="auto"/>
        <w:ind w:left="851" w:right="390"/>
        <w:jc w:val="both"/>
        <w:rPr>
          <w:rFonts w:ascii="Bookman Old Style" w:hAnsi="Bookman Old Style"/>
          <w:sz w:val="26"/>
          <w:szCs w:val="26"/>
        </w:rPr>
      </w:pPr>
    </w:p>
    <w:p w14:paraId="06728C03" w14:textId="0ED21C97" w:rsidR="009A6EC2" w:rsidRDefault="00BB572F" w:rsidP="009A6EC2">
      <w:pPr>
        <w:spacing w:line="276" w:lineRule="auto"/>
        <w:ind w:left="426" w:right="248"/>
        <w:jc w:val="both"/>
        <w:rPr>
          <w:rFonts w:ascii="Bookman Old Style" w:hAnsi="Bookman Old Style" w:cs="Arial"/>
          <w:i/>
          <w:iCs/>
          <w:sz w:val="26"/>
          <w:szCs w:val="26"/>
          <w:lang w:val="el-GR"/>
        </w:rPr>
      </w:pPr>
      <w:r w:rsidRPr="00EE3C43">
        <w:rPr>
          <w:rFonts w:ascii="Bookman Old Style" w:hAnsi="Bookman Old Style" w:cs="Arial"/>
          <w:i/>
          <w:iCs/>
          <w:sz w:val="26"/>
          <w:szCs w:val="26"/>
          <w:lang w:val="el-GR"/>
        </w:rPr>
        <w:t>Εν πάση περιπτώσει, σε ότι αφορά την παρ</w:t>
      </w:r>
      <w:r w:rsidR="00AE24CA">
        <w:rPr>
          <w:rFonts w:ascii="Bookman Old Style" w:hAnsi="Bookman Old Style" w:cs="Arial"/>
          <w:i/>
          <w:iCs/>
          <w:sz w:val="26"/>
          <w:szCs w:val="26"/>
          <w:lang w:val="el-GR"/>
        </w:rPr>
        <w:t>ά</w:t>
      </w:r>
      <w:r w:rsidRPr="00EE3C43">
        <w:rPr>
          <w:rFonts w:ascii="Bookman Old Style" w:hAnsi="Bookman Old Style" w:cs="Arial"/>
          <w:i/>
          <w:iCs/>
          <w:sz w:val="26"/>
          <w:szCs w:val="26"/>
          <w:lang w:val="el-GR"/>
        </w:rPr>
        <w:t>λειψη δέουσας επίδοσης</w:t>
      </w:r>
      <w:r w:rsidRPr="00E144B9">
        <w:rPr>
          <w:rFonts w:ascii="Bookman Old Style" w:hAnsi="Bookman Old Style" w:cs="Arial"/>
          <w:i/>
          <w:iCs/>
          <w:sz w:val="26"/>
          <w:szCs w:val="26"/>
          <w:lang w:val="el-GR"/>
        </w:rPr>
        <w:t xml:space="preserve">, στην υπόθεση </w:t>
      </w:r>
      <w:r w:rsidRPr="00E144B9">
        <w:rPr>
          <w:rFonts w:ascii="Bookman Old Style" w:hAnsi="Bookman Old Style" w:cs="Arial"/>
          <w:b/>
          <w:bCs/>
          <w:i/>
          <w:iCs/>
          <w:sz w:val="26"/>
          <w:szCs w:val="26"/>
        </w:rPr>
        <w:t>White</w:t>
      </w:r>
      <w:r w:rsidRPr="00E144B9">
        <w:rPr>
          <w:rFonts w:ascii="Bookman Old Style" w:hAnsi="Bookman Old Style" w:cs="Arial"/>
          <w:b/>
          <w:bCs/>
          <w:i/>
          <w:iCs/>
          <w:sz w:val="26"/>
          <w:szCs w:val="26"/>
          <w:lang w:val="el-GR"/>
        </w:rPr>
        <w:t xml:space="preserve"> </w:t>
      </w:r>
      <w:r w:rsidRPr="00E144B9">
        <w:rPr>
          <w:rFonts w:ascii="Bookman Old Style" w:hAnsi="Bookman Old Style" w:cs="Arial"/>
          <w:b/>
          <w:bCs/>
          <w:i/>
          <w:iCs/>
          <w:sz w:val="26"/>
          <w:szCs w:val="26"/>
        </w:rPr>
        <w:t>v</w:t>
      </w:r>
      <w:r w:rsidRPr="00E144B9">
        <w:rPr>
          <w:rFonts w:ascii="Bookman Old Style" w:hAnsi="Bookman Old Style" w:cs="Arial"/>
          <w:b/>
          <w:bCs/>
          <w:i/>
          <w:iCs/>
          <w:sz w:val="26"/>
          <w:szCs w:val="26"/>
          <w:lang w:val="el-GR"/>
        </w:rPr>
        <w:t xml:space="preserve">. </w:t>
      </w:r>
      <w:r w:rsidRPr="00E144B9">
        <w:rPr>
          <w:rFonts w:ascii="Bookman Old Style" w:hAnsi="Bookman Old Style" w:cs="Arial"/>
          <w:b/>
          <w:bCs/>
          <w:i/>
          <w:iCs/>
          <w:sz w:val="26"/>
          <w:szCs w:val="26"/>
        </w:rPr>
        <w:t>Weston</w:t>
      </w:r>
      <w:r w:rsidRPr="00E144B9">
        <w:rPr>
          <w:rFonts w:ascii="Bookman Old Style" w:hAnsi="Bookman Old Style" w:cs="Arial"/>
          <w:b/>
          <w:bCs/>
          <w:i/>
          <w:iCs/>
          <w:sz w:val="26"/>
          <w:szCs w:val="26"/>
          <w:lang w:val="el-GR"/>
        </w:rPr>
        <w:t xml:space="preserve"> [1968] 2 </w:t>
      </w:r>
      <w:r w:rsidRPr="00E144B9">
        <w:rPr>
          <w:rFonts w:ascii="Bookman Old Style" w:hAnsi="Bookman Old Style" w:cs="Arial"/>
          <w:b/>
          <w:bCs/>
          <w:i/>
          <w:iCs/>
          <w:sz w:val="26"/>
          <w:szCs w:val="26"/>
        </w:rPr>
        <w:t>W</w:t>
      </w:r>
      <w:r w:rsidRPr="00E144B9">
        <w:rPr>
          <w:rFonts w:ascii="Bookman Old Style" w:hAnsi="Bookman Old Style" w:cs="Arial"/>
          <w:b/>
          <w:bCs/>
          <w:i/>
          <w:iCs/>
          <w:sz w:val="26"/>
          <w:szCs w:val="26"/>
          <w:lang w:val="el-GR"/>
        </w:rPr>
        <w:t>.</w:t>
      </w:r>
      <w:r w:rsidRPr="00E144B9">
        <w:rPr>
          <w:rFonts w:ascii="Bookman Old Style" w:hAnsi="Bookman Old Style" w:cs="Arial"/>
          <w:b/>
          <w:bCs/>
          <w:i/>
          <w:iCs/>
          <w:sz w:val="26"/>
          <w:szCs w:val="26"/>
        </w:rPr>
        <w:t>L</w:t>
      </w:r>
      <w:r w:rsidRPr="00E144B9">
        <w:rPr>
          <w:rFonts w:ascii="Bookman Old Style" w:hAnsi="Bookman Old Style" w:cs="Arial"/>
          <w:b/>
          <w:bCs/>
          <w:i/>
          <w:iCs/>
          <w:sz w:val="26"/>
          <w:szCs w:val="26"/>
          <w:lang w:val="el-GR"/>
        </w:rPr>
        <w:t>.</w:t>
      </w:r>
      <w:r w:rsidRPr="00E144B9">
        <w:rPr>
          <w:rFonts w:ascii="Bookman Old Style" w:hAnsi="Bookman Old Style" w:cs="Arial"/>
          <w:b/>
          <w:bCs/>
          <w:i/>
          <w:iCs/>
          <w:sz w:val="26"/>
          <w:szCs w:val="26"/>
        </w:rPr>
        <w:t>R</w:t>
      </w:r>
      <w:r w:rsidRPr="00E144B9">
        <w:rPr>
          <w:rFonts w:ascii="Bookman Old Style" w:hAnsi="Bookman Old Style" w:cs="Arial"/>
          <w:b/>
          <w:bCs/>
          <w:i/>
          <w:iCs/>
          <w:sz w:val="26"/>
          <w:szCs w:val="26"/>
          <w:lang w:val="el-GR"/>
        </w:rPr>
        <w:t>. 1459</w:t>
      </w:r>
      <w:r w:rsidRPr="00E144B9">
        <w:rPr>
          <w:rFonts w:ascii="Bookman Old Style" w:hAnsi="Bookman Old Style" w:cs="Arial"/>
          <w:i/>
          <w:iCs/>
          <w:sz w:val="26"/>
          <w:szCs w:val="26"/>
          <w:lang w:val="el-GR"/>
        </w:rPr>
        <w:t xml:space="preserve">, που αφορούσε ακριβώς παράλειψη επίδοσης με συνεπακόλουθη έλλειψη γνώσης της διαδικασίας από τον εναγόμενο, ελέχθη ότι υπό τέτοιες περιστάσεις η απόφαση θα έπρεπε να παραμεριστεί </w:t>
      </w:r>
      <w:r w:rsidRPr="00E144B9">
        <w:rPr>
          <w:rFonts w:ascii="Bookman Old Style" w:hAnsi="Bookman Old Style" w:cs="Arial"/>
          <w:i/>
          <w:iCs/>
          <w:sz w:val="26"/>
          <w:szCs w:val="26"/>
        </w:rPr>
        <w:t>ex</w:t>
      </w:r>
      <w:r w:rsidRPr="00E144B9">
        <w:rPr>
          <w:rFonts w:ascii="Bookman Old Style" w:hAnsi="Bookman Old Style" w:cs="Arial"/>
          <w:i/>
          <w:iCs/>
          <w:sz w:val="26"/>
          <w:szCs w:val="26"/>
          <w:lang w:val="el-GR"/>
        </w:rPr>
        <w:t xml:space="preserve"> </w:t>
      </w:r>
      <w:r w:rsidRPr="00E144B9">
        <w:rPr>
          <w:rFonts w:ascii="Bookman Old Style" w:hAnsi="Bookman Old Style" w:cs="Arial"/>
          <w:i/>
          <w:iCs/>
          <w:sz w:val="26"/>
          <w:szCs w:val="26"/>
        </w:rPr>
        <w:t>debito</w:t>
      </w:r>
      <w:r w:rsidRPr="00E144B9">
        <w:rPr>
          <w:rFonts w:ascii="Bookman Old Style" w:hAnsi="Bookman Old Style" w:cs="Arial"/>
          <w:i/>
          <w:iCs/>
          <w:sz w:val="26"/>
          <w:szCs w:val="26"/>
          <w:lang w:val="el-GR"/>
        </w:rPr>
        <w:t xml:space="preserve"> </w:t>
      </w:r>
      <w:r w:rsidRPr="00E144B9">
        <w:rPr>
          <w:rFonts w:ascii="Bookman Old Style" w:hAnsi="Bookman Old Style" w:cs="Arial"/>
          <w:i/>
          <w:iCs/>
          <w:sz w:val="26"/>
          <w:szCs w:val="26"/>
        </w:rPr>
        <w:t>justitiae</w:t>
      </w:r>
      <w:r w:rsidRPr="00E144B9">
        <w:rPr>
          <w:rFonts w:ascii="Bookman Old Style" w:hAnsi="Bookman Old Style" w:cs="Arial"/>
          <w:i/>
          <w:iCs/>
          <w:sz w:val="26"/>
          <w:szCs w:val="26"/>
          <w:lang w:val="el-GR"/>
        </w:rPr>
        <w:t xml:space="preserve"> και ότι η περαιτέρω συζήτηση ως προς το κατά πόσο θα μπορούσε η περίπτωση να χαρακτηριστεί ως ακυρότητα ή ως αντικανονικότητα, θα είχε μόνο ακαδημαϊκή σημασία.</w:t>
      </w:r>
    </w:p>
    <w:p w14:paraId="1084776C" w14:textId="5E192A24" w:rsidR="00BB572F" w:rsidRPr="00E144B9" w:rsidRDefault="00BB572F" w:rsidP="009A6EC2">
      <w:pPr>
        <w:spacing w:line="276" w:lineRule="auto"/>
        <w:ind w:left="426" w:right="248"/>
        <w:jc w:val="both"/>
        <w:rPr>
          <w:rFonts w:ascii="Bookman Old Style" w:hAnsi="Bookman Old Style"/>
          <w:i/>
          <w:iCs/>
          <w:sz w:val="26"/>
          <w:szCs w:val="26"/>
          <w:lang w:val="el-GR"/>
        </w:rPr>
      </w:pPr>
      <w:r w:rsidRPr="00E144B9">
        <w:rPr>
          <w:rFonts w:ascii="Bookman Old Style" w:hAnsi="Bookman Old Style" w:cs="Arial"/>
          <w:i/>
          <w:iCs/>
          <w:sz w:val="26"/>
          <w:szCs w:val="26"/>
          <w:lang w:val="el-GR"/>
        </w:rPr>
        <w:t xml:space="preserve"> </w:t>
      </w:r>
    </w:p>
    <w:p w14:paraId="44E61D69" w14:textId="77777777" w:rsidR="00BB572F" w:rsidRPr="006D563F" w:rsidRDefault="00BB572F" w:rsidP="009A6EC2">
      <w:pPr>
        <w:spacing w:line="276" w:lineRule="auto"/>
        <w:ind w:left="426" w:right="248"/>
        <w:jc w:val="both"/>
        <w:rPr>
          <w:rFonts w:ascii="Bookman Old Style" w:hAnsi="Bookman Old Style"/>
          <w:sz w:val="26"/>
          <w:szCs w:val="26"/>
          <w:lang w:val="el-GR"/>
        </w:rPr>
      </w:pPr>
      <w:r w:rsidRPr="00E144B9">
        <w:rPr>
          <w:rFonts w:ascii="Bookman Old Style" w:hAnsi="Bookman Old Style" w:cs="Arial"/>
          <w:i/>
          <w:iCs/>
          <w:sz w:val="26"/>
          <w:szCs w:val="26"/>
          <w:lang w:val="el-GR"/>
        </w:rPr>
        <w:t>Η προαναφερθείσα κυπριακή νομολογία υιοθέτησε την αντίληψη του αγγλικού δικαίου πως κακή επίδοση συνιστά θεμελιακό ελάττωμα (</w:t>
      </w:r>
      <w:r w:rsidRPr="00E144B9">
        <w:rPr>
          <w:rFonts w:ascii="Bookman Old Style" w:hAnsi="Bookman Old Style" w:cs="Arial"/>
          <w:i/>
          <w:iCs/>
          <w:sz w:val="26"/>
          <w:szCs w:val="26"/>
        </w:rPr>
        <w:t>fundamental</w:t>
      </w:r>
      <w:r w:rsidRPr="00E144B9">
        <w:rPr>
          <w:rFonts w:ascii="Bookman Old Style" w:hAnsi="Bookman Old Style" w:cs="Arial"/>
          <w:i/>
          <w:iCs/>
          <w:sz w:val="26"/>
          <w:szCs w:val="26"/>
          <w:lang w:val="el-GR"/>
        </w:rPr>
        <w:t xml:space="preserve"> </w:t>
      </w:r>
      <w:r w:rsidRPr="00E144B9">
        <w:rPr>
          <w:rFonts w:ascii="Bookman Old Style" w:hAnsi="Bookman Old Style" w:cs="Arial"/>
          <w:i/>
          <w:iCs/>
          <w:sz w:val="26"/>
          <w:szCs w:val="26"/>
        </w:rPr>
        <w:t>vice</w:t>
      </w:r>
      <w:r w:rsidRPr="00E144B9">
        <w:rPr>
          <w:rFonts w:ascii="Bookman Old Style" w:hAnsi="Bookman Old Style" w:cs="Arial"/>
          <w:i/>
          <w:iCs/>
          <w:sz w:val="26"/>
          <w:szCs w:val="26"/>
          <w:lang w:val="el-GR"/>
        </w:rPr>
        <w:t xml:space="preserve">) που δημιουργεί υποχρέωση για </w:t>
      </w:r>
      <w:r w:rsidRPr="00E144B9">
        <w:rPr>
          <w:rFonts w:ascii="Bookman Old Style" w:hAnsi="Bookman Old Style" w:cs="Arial"/>
          <w:i/>
          <w:iCs/>
          <w:sz w:val="26"/>
          <w:szCs w:val="26"/>
        </w:rPr>
        <w:t>ex</w:t>
      </w:r>
      <w:r w:rsidRPr="00E144B9">
        <w:rPr>
          <w:rFonts w:ascii="Bookman Old Style" w:hAnsi="Bookman Old Style" w:cs="Arial"/>
          <w:i/>
          <w:iCs/>
          <w:sz w:val="26"/>
          <w:szCs w:val="26"/>
          <w:lang w:val="el-GR"/>
        </w:rPr>
        <w:t xml:space="preserve"> </w:t>
      </w:r>
      <w:r w:rsidRPr="00E144B9">
        <w:rPr>
          <w:rFonts w:ascii="Bookman Old Style" w:hAnsi="Bookman Old Style" w:cs="Arial"/>
          <w:i/>
          <w:iCs/>
          <w:sz w:val="26"/>
          <w:szCs w:val="26"/>
        </w:rPr>
        <w:t>debito</w:t>
      </w:r>
      <w:r w:rsidRPr="00E144B9">
        <w:rPr>
          <w:rFonts w:ascii="Bookman Old Style" w:hAnsi="Bookman Old Style" w:cs="Arial"/>
          <w:i/>
          <w:iCs/>
          <w:sz w:val="26"/>
          <w:szCs w:val="26"/>
          <w:lang w:val="el-GR"/>
        </w:rPr>
        <w:t xml:space="preserve"> </w:t>
      </w:r>
      <w:r w:rsidRPr="00E144B9">
        <w:rPr>
          <w:rFonts w:ascii="Bookman Old Style" w:hAnsi="Bookman Old Style" w:cs="Arial"/>
          <w:i/>
          <w:iCs/>
          <w:sz w:val="26"/>
          <w:szCs w:val="26"/>
        </w:rPr>
        <w:t>justitiae</w:t>
      </w:r>
      <w:r w:rsidRPr="00E144B9">
        <w:rPr>
          <w:rFonts w:ascii="Bookman Old Style" w:hAnsi="Bookman Old Style" w:cs="Arial"/>
          <w:i/>
          <w:iCs/>
          <w:sz w:val="26"/>
          <w:szCs w:val="26"/>
          <w:lang w:val="el-GR"/>
        </w:rPr>
        <w:t xml:space="preserve"> παραμερισμό μιας ερήμην απόφασης.</w:t>
      </w:r>
      <w:r w:rsidRPr="00E144B9">
        <w:rPr>
          <w:rFonts w:ascii="Bookman Old Style" w:hAnsi="Bookman Old Style" w:cs="Arial"/>
          <w:i/>
          <w:iCs/>
          <w:sz w:val="26"/>
          <w:szCs w:val="26"/>
        </w:rPr>
        <w:t> </w:t>
      </w:r>
      <w:r w:rsidRPr="00E144B9">
        <w:rPr>
          <w:rFonts w:ascii="Bookman Old Style" w:hAnsi="Bookman Old Style" w:cs="Arial"/>
          <w:i/>
          <w:iCs/>
          <w:sz w:val="26"/>
          <w:szCs w:val="26"/>
          <w:lang w:val="el-GR"/>
        </w:rPr>
        <w:t xml:space="preserve"> Έτι περαιτέρω μάλιστα, η νομολογία μας προσέδωσε στο ζήτημα τη συνταγματική διάσταση που προκύπτει από το Άρθρο 30.3(α) και (β) του Συντάγματος, υποδεικνύοντας ότι η δέουσα επίδοση συνδέεται αναπόφευκτα με τη δυνατότητα του ενδιαφερομένου να γνωρίζει τους λόγους για τους οποίους εγκαλείται στο Δικαστήριο και τη δυνατότητά του, ως θεμελιώδες ατομικό δικαίωμα, να προβάλει την υπεράσπισή του</w:t>
      </w:r>
      <w:r w:rsidRPr="006D563F">
        <w:rPr>
          <w:rFonts w:ascii="Bookman Old Style" w:hAnsi="Bookman Old Style" w:cs="Arial"/>
          <w:sz w:val="26"/>
          <w:szCs w:val="26"/>
          <w:lang w:val="el-GR"/>
        </w:rPr>
        <w:t>».</w:t>
      </w:r>
    </w:p>
    <w:p w14:paraId="4B03214E" w14:textId="77777777" w:rsidR="00BB572F" w:rsidRPr="006D563F" w:rsidRDefault="00BB572F" w:rsidP="009A6EC2">
      <w:pPr>
        <w:spacing w:line="276" w:lineRule="auto"/>
        <w:jc w:val="both"/>
        <w:rPr>
          <w:rFonts w:ascii="Bookman Old Style" w:hAnsi="Bookman Old Style"/>
          <w:sz w:val="26"/>
          <w:szCs w:val="26"/>
          <w:lang w:val="el-GR"/>
        </w:rPr>
      </w:pPr>
      <w:r w:rsidRPr="006D563F">
        <w:rPr>
          <w:rFonts w:ascii="Bookman Old Style" w:hAnsi="Bookman Old Style" w:cs="Arial"/>
          <w:sz w:val="26"/>
          <w:szCs w:val="26"/>
        </w:rPr>
        <w:t> </w:t>
      </w:r>
    </w:p>
    <w:p w14:paraId="515A3F2F" w14:textId="77777777" w:rsidR="009A6EC2" w:rsidRDefault="009A6EC2" w:rsidP="00BB572F">
      <w:pPr>
        <w:spacing w:line="276" w:lineRule="auto"/>
        <w:ind w:right="-35"/>
        <w:jc w:val="both"/>
        <w:rPr>
          <w:rFonts w:ascii="Bookman Old Style" w:hAnsi="Bookman Old Style" w:cs="Arial"/>
          <w:sz w:val="28"/>
          <w:szCs w:val="28"/>
          <w:lang w:val="el-GR"/>
        </w:rPr>
      </w:pPr>
    </w:p>
    <w:p w14:paraId="02D0A5A8" w14:textId="0A21E4FC" w:rsidR="00BB572F" w:rsidRDefault="00BB572F" w:rsidP="00BB572F">
      <w:pPr>
        <w:spacing w:line="276" w:lineRule="auto"/>
        <w:ind w:right="-35"/>
        <w:jc w:val="both"/>
        <w:rPr>
          <w:rFonts w:ascii="Bookman Old Style" w:hAnsi="Bookman Old Style" w:cs="Arial"/>
          <w:sz w:val="28"/>
          <w:szCs w:val="28"/>
          <w:lang w:val="el-GR"/>
        </w:rPr>
      </w:pPr>
      <w:r w:rsidRPr="00E144B9">
        <w:rPr>
          <w:rFonts w:ascii="Bookman Old Style" w:hAnsi="Bookman Old Style" w:cs="Arial"/>
          <w:sz w:val="28"/>
          <w:szCs w:val="28"/>
          <w:lang w:val="el-GR"/>
        </w:rPr>
        <w:t>Τέτοια είναι και η υπό κρίση περίπτωση.</w:t>
      </w:r>
    </w:p>
    <w:p w14:paraId="0A041322" w14:textId="77777777" w:rsidR="00BB572F" w:rsidRPr="00E144B9" w:rsidRDefault="00BB572F" w:rsidP="00BB572F">
      <w:pPr>
        <w:spacing w:line="276" w:lineRule="auto"/>
        <w:ind w:right="-35"/>
        <w:jc w:val="both"/>
        <w:rPr>
          <w:rFonts w:ascii="Bookman Old Style" w:hAnsi="Bookman Old Style" w:cs="Arial"/>
          <w:sz w:val="28"/>
          <w:szCs w:val="28"/>
          <w:lang w:val="el-GR"/>
        </w:rPr>
      </w:pPr>
    </w:p>
    <w:p w14:paraId="196FCE70" w14:textId="77777777" w:rsidR="00BB572F" w:rsidRDefault="00BB572F" w:rsidP="00BB572F">
      <w:pPr>
        <w:spacing w:line="276" w:lineRule="auto"/>
        <w:ind w:right="-35"/>
        <w:jc w:val="both"/>
        <w:rPr>
          <w:rFonts w:ascii="Bookman Old Style" w:hAnsi="Bookman Old Style" w:cs="Arial"/>
          <w:sz w:val="26"/>
          <w:szCs w:val="26"/>
          <w:lang w:val="el-GR"/>
        </w:rPr>
      </w:pPr>
    </w:p>
    <w:p w14:paraId="6BD4DFB6" w14:textId="52D53A4A" w:rsidR="006B2B34" w:rsidRDefault="00541C2E"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Επακόλουθο των πιο πάνω είναι ότι η πρωτόδικη </w:t>
      </w:r>
      <w:r w:rsidR="0097440E">
        <w:rPr>
          <w:rFonts w:ascii="Bookman Old Style" w:hAnsi="Bookman Old Style" w:cs="Arial"/>
          <w:sz w:val="28"/>
          <w:szCs w:val="28"/>
          <w:lang w:val="el-GR"/>
        </w:rPr>
        <w:t>κρίση</w:t>
      </w:r>
      <w:r>
        <w:rPr>
          <w:rFonts w:ascii="Bookman Old Style" w:hAnsi="Bookman Old Style" w:cs="Arial"/>
          <w:sz w:val="28"/>
          <w:szCs w:val="28"/>
          <w:lang w:val="el-GR"/>
        </w:rPr>
        <w:t xml:space="preserve"> περί καλής και νομότυπης επίδοσης πλήττεται συθέμελα.</w:t>
      </w:r>
      <w:r w:rsidR="00E32841" w:rsidRPr="00E32841">
        <w:rPr>
          <w:rFonts w:ascii="Bookman Old Style" w:hAnsi="Bookman Old Style" w:cs="Arial"/>
          <w:sz w:val="28"/>
          <w:szCs w:val="28"/>
          <w:lang w:val="el-GR"/>
        </w:rPr>
        <w:t xml:space="preserve"> </w:t>
      </w:r>
      <w:r w:rsidR="00E32841">
        <w:rPr>
          <w:rFonts w:ascii="Bookman Old Style" w:hAnsi="Bookman Old Style" w:cs="Arial"/>
          <w:sz w:val="28"/>
          <w:szCs w:val="28"/>
          <w:lang w:val="el-GR"/>
        </w:rPr>
        <w:t>Η έκδοση του διατάγματος εγγραφής και εκτέλεσης της διαιτητικής απόφασης χωρίς να προηγηθεί η δέουσα επίδοση</w:t>
      </w:r>
      <w:r w:rsidR="00315384">
        <w:rPr>
          <w:rFonts w:ascii="Bookman Old Style" w:hAnsi="Bookman Old Style" w:cs="Arial"/>
          <w:sz w:val="28"/>
          <w:szCs w:val="28"/>
          <w:lang w:val="el-GR"/>
        </w:rPr>
        <w:t>,</w:t>
      </w:r>
      <w:r w:rsidR="00E32841">
        <w:rPr>
          <w:rFonts w:ascii="Bookman Old Style" w:hAnsi="Bookman Old Style" w:cs="Arial"/>
          <w:sz w:val="28"/>
          <w:szCs w:val="28"/>
          <w:lang w:val="el-GR"/>
        </w:rPr>
        <w:t xml:space="preserve"> δικαιολογούσε τον </w:t>
      </w:r>
      <w:r w:rsidR="00E32841" w:rsidRPr="00FF2973">
        <w:rPr>
          <w:rFonts w:ascii="Bookman Old Style" w:hAnsi="Bookman Old Style"/>
          <w:i/>
          <w:iCs/>
          <w:sz w:val="28"/>
          <w:szCs w:val="28"/>
          <w:lang w:val="el-GR"/>
        </w:rPr>
        <w:t>ex debito justitiae</w:t>
      </w:r>
      <w:r w:rsidR="00E32841">
        <w:rPr>
          <w:rFonts w:ascii="Bookman Old Style" w:hAnsi="Bookman Old Style" w:cs="Arial"/>
          <w:sz w:val="28"/>
          <w:szCs w:val="28"/>
          <w:lang w:val="el-GR"/>
        </w:rPr>
        <w:t xml:space="preserve"> παραμερισμό του διατάγματος ως οφειλόμενο χρέος προς τη δικαιοσύνη</w:t>
      </w:r>
      <w:r w:rsidR="006D563F">
        <w:rPr>
          <w:rFonts w:ascii="Bookman Old Style" w:hAnsi="Bookman Old Style" w:cs="Arial"/>
          <w:sz w:val="28"/>
          <w:szCs w:val="28"/>
          <w:lang w:val="el-GR"/>
        </w:rPr>
        <w:t>.</w:t>
      </w:r>
    </w:p>
    <w:p w14:paraId="6ADBFCE5" w14:textId="77777777" w:rsidR="006B2B34" w:rsidRDefault="006B2B34" w:rsidP="006D563F">
      <w:pPr>
        <w:spacing w:line="276" w:lineRule="auto"/>
        <w:ind w:right="-35"/>
        <w:jc w:val="both"/>
        <w:rPr>
          <w:rFonts w:ascii="Bookman Old Style" w:hAnsi="Bookman Old Style" w:cs="Arial"/>
          <w:sz w:val="26"/>
          <w:szCs w:val="26"/>
          <w:lang w:val="el-GR"/>
        </w:rPr>
      </w:pPr>
    </w:p>
    <w:p w14:paraId="5CB66300" w14:textId="77777777" w:rsidR="00E144B9" w:rsidRDefault="00E144B9" w:rsidP="006D563F">
      <w:pPr>
        <w:spacing w:line="276" w:lineRule="auto"/>
        <w:ind w:right="-35"/>
        <w:jc w:val="both"/>
        <w:rPr>
          <w:rFonts w:ascii="Bookman Old Style" w:hAnsi="Bookman Old Style" w:cs="Arial"/>
          <w:sz w:val="26"/>
          <w:szCs w:val="26"/>
          <w:lang w:val="el-GR"/>
        </w:rPr>
      </w:pPr>
    </w:p>
    <w:p w14:paraId="25F11E6F" w14:textId="23078F84" w:rsidR="00E144B9" w:rsidRDefault="00FC7324" w:rsidP="00FC7324">
      <w:pPr>
        <w:spacing w:line="480" w:lineRule="auto"/>
        <w:ind w:right="-35"/>
        <w:jc w:val="both"/>
        <w:rPr>
          <w:rFonts w:ascii="Bookman Old Style" w:hAnsi="Bookman Old Style" w:cs="Arial"/>
          <w:sz w:val="28"/>
          <w:szCs w:val="28"/>
          <w:lang w:val="el-GR"/>
        </w:rPr>
      </w:pPr>
      <w:r w:rsidRPr="00FC7324">
        <w:rPr>
          <w:rFonts w:ascii="Bookman Old Style" w:hAnsi="Bookman Old Style" w:cs="Arial"/>
          <w:sz w:val="28"/>
          <w:szCs w:val="28"/>
          <w:lang w:val="el-GR"/>
        </w:rPr>
        <w:t xml:space="preserve">Στη βάση της πιο πάνω κατάληξης και των θεμελιακών επιπτώσεων </w:t>
      </w:r>
      <w:r>
        <w:rPr>
          <w:rFonts w:ascii="Bookman Old Style" w:hAnsi="Bookman Old Style" w:cs="Arial"/>
          <w:sz w:val="28"/>
          <w:szCs w:val="28"/>
          <w:lang w:val="el-GR"/>
        </w:rPr>
        <w:t>τ</w:t>
      </w:r>
      <w:r w:rsidRPr="00FC7324">
        <w:rPr>
          <w:rFonts w:ascii="Bookman Old Style" w:hAnsi="Bookman Old Style" w:cs="Arial"/>
          <w:sz w:val="28"/>
          <w:szCs w:val="28"/>
          <w:lang w:val="el-GR"/>
        </w:rPr>
        <w:t xml:space="preserve">ης αποδοχής </w:t>
      </w:r>
      <w:r>
        <w:rPr>
          <w:rFonts w:ascii="Bookman Old Style" w:hAnsi="Bookman Old Style" w:cs="Arial"/>
          <w:sz w:val="28"/>
          <w:szCs w:val="28"/>
          <w:lang w:val="el-GR"/>
        </w:rPr>
        <w:t>των Λόγων Έφεσης που αναφέρονται σε κακή επίδοση</w:t>
      </w:r>
      <w:r w:rsidR="00315384">
        <w:rPr>
          <w:rFonts w:ascii="Bookman Old Style" w:hAnsi="Bookman Old Style" w:cs="Arial"/>
          <w:sz w:val="28"/>
          <w:szCs w:val="28"/>
          <w:lang w:val="el-GR"/>
        </w:rPr>
        <w:t>,</w:t>
      </w:r>
      <w:r>
        <w:rPr>
          <w:rFonts w:ascii="Bookman Old Style" w:hAnsi="Bookman Old Style" w:cs="Arial"/>
          <w:sz w:val="28"/>
          <w:szCs w:val="28"/>
          <w:lang w:val="el-GR"/>
        </w:rPr>
        <w:t xml:space="preserve"> λόγω της άγνοιας του Εφεσείοντα ως προς </w:t>
      </w:r>
      <w:r w:rsidR="00A9427F">
        <w:rPr>
          <w:rFonts w:ascii="Bookman Old Style" w:hAnsi="Bookman Old Style" w:cs="Arial"/>
          <w:sz w:val="28"/>
          <w:szCs w:val="28"/>
          <w:lang w:val="el-GR"/>
        </w:rPr>
        <w:t>τις σχετικές διαδικασίες ως εκ της επίδοσης που έγινε, παρέλκει η εξέταση των υπ</w:t>
      </w:r>
      <w:r w:rsidR="00315384">
        <w:rPr>
          <w:rFonts w:ascii="Bookman Old Style" w:hAnsi="Bookman Old Style" w:cs="Arial"/>
          <w:sz w:val="28"/>
          <w:szCs w:val="28"/>
          <w:lang w:val="el-GR"/>
        </w:rPr>
        <w:t>όλοι</w:t>
      </w:r>
      <w:r w:rsidR="00A9427F">
        <w:rPr>
          <w:rFonts w:ascii="Bookman Old Style" w:hAnsi="Bookman Old Style" w:cs="Arial"/>
          <w:sz w:val="28"/>
          <w:szCs w:val="28"/>
          <w:lang w:val="el-GR"/>
        </w:rPr>
        <w:t>πων Λόγων Έφεσης.</w:t>
      </w:r>
    </w:p>
    <w:p w14:paraId="787329A6" w14:textId="77777777" w:rsidR="00EE3C43" w:rsidRDefault="00EE3C43" w:rsidP="00FC7324">
      <w:pPr>
        <w:spacing w:line="480" w:lineRule="auto"/>
        <w:ind w:right="-35"/>
        <w:jc w:val="both"/>
        <w:rPr>
          <w:rFonts w:ascii="Bookman Old Style" w:hAnsi="Bookman Old Style" w:cs="Arial"/>
          <w:b/>
          <w:bCs/>
          <w:sz w:val="28"/>
          <w:szCs w:val="28"/>
          <w:lang w:val="el-GR"/>
        </w:rPr>
      </w:pPr>
    </w:p>
    <w:p w14:paraId="7F4DD52A" w14:textId="7180E236" w:rsidR="00A9427F" w:rsidRDefault="00A9427F" w:rsidP="00FC7324">
      <w:pPr>
        <w:spacing w:line="480" w:lineRule="auto"/>
        <w:ind w:right="-35"/>
        <w:jc w:val="both"/>
        <w:rPr>
          <w:rFonts w:ascii="Bookman Old Style" w:hAnsi="Bookman Old Style" w:cs="Arial"/>
          <w:sz w:val="28"/>
          <w:szCs w:val="28"/>
          <w:lang w:val="el-GR"/>
        </w:rPr>
      </w:pPr>
      <w:r w:rsidRPr="00A9427F">
        <w:rPr>
          <w:rFonts w:ascii="Bookman Old Style" w:hAnsi="Bookman Old Style" w:cs="Arial"/>
          <w:b/>
          <w:bCs/>
          <w:sz w:val="28"/>
          <w:szCs w:val="28"/>
          <w:lang w:val="el-GR"/>
        </w:rPr>
        <w:t>Η Έφεση επιτυγχάνει</w:t>
      </w:r>
      <w:r>
        <w:rPr>
          <w:rFonts w:ascii="Bookman Old Style" w:hAnsi="Bookman Old Style" w:cs="Arial"/>
          <w:sz w:val="28"/>
          <w:szCs w:val="28"/>
          <w:lang w:val="el-GR"/>
        </w:rPr>
        <w:t>.</w:t>
      </w:r>
    </w:p>
    <w:p w14:paraId="3520EC25" w14:textId="77777777" w:rsidR="0097440E" w:rsidRDefault="0097440E" w:rsidP="00FC7324">
      <w:pPr>
        <w:spacing w:line="480" w:lineRule="auto"/>
        <w:ind w:right="-35"/>
        <w:jc w:val="both"/>
        <w:rPr>
          <w:rFonts w:ascii="Bookman Old Style" w:hAnsi="Bookman Old Style" w:cs="Arial"/>
          <w:sz w:val="28"/>
          <w:szCs w:val="28"/>
          <w:lang w:val="el-GR"/>
        </w:rPr>
      </w:pPr>
    </w:p>
    <w:p w14:paraId="03D30081" w14:textId="4879D79D" w:rsidR="00E144B9" w:rsidRPr="00FC7324" w:rsidRDefault="00A9427F" w:rsidP="00FC73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πρωτόδικη Απόφαση</w:t>
      </w:r>
      <w:r w:rsidR="00315384">
        <w:rPr>
          <w:rFonts w:ascii="Bookman Old Style" w:hAnsi="Bookman Old Style" w:cs="Arial"/>
          <w:sz w:val="28"/>
          <w:szCs w:val="28"/>
          <w:lang w:val="el-GR"/>
        </w:rPr>
        <w:t>,</w:t>
      </w:r>
      <w:r w:rsidRPr="00A9427F">
        <w:rPr>
          <w:rFonts w:ascii="Bookman Old Style" w:hAnsi="Bookman Old Style" w:cs="Arial"/>
          <w:sz w:val="28"/>
          <w:szCs w:val="28"/>
          <w:lang w:val="el-GR"/>
        </w:rPr>
        <w:t xml:space="preserve"> </w:t>
      </w:r>
      <w:r>
        <w:rPr>
          <w:rFonts w:ascii="Bookman Old Style" w:hAnsi="Bookman Old Style" w:cs="Arial"/>
          <w:sz w:val="28"/>
          <w:szCs w:val="28"/>
          <w:lang w:val="el-GR"/>
        </w:rPr>
        <w:t xml:space="preserve"> περιλαμβανομένης και της διαταγής για τα έξοδα</w:t>
      </w:r>
      <w:r w:rsidR="00315384">
        <w:rPr>
          <w:rFonts w:ascii="Bookman Old Style" w:hAnsi="Bookman Old Style" w:cs="Arial"/>
          <w:sz w:val="28"/>
          <w:szCs w:val="28"/>
          <w:lang w:val="el-GR"/>
        </w:rPr>
        <w:t>,</w:t>
      </w:r>
      <w:r>
        <w:rPr>
          <w:rFonts w:ascii="Bookman Old Style" w:hAnsi="Bookman Old Style" w:cs="Arial"/>
          <w:sz w:val="28"/>
          <w:szCs w:val="28"/>
          <w:lang w:val="el-GR"/>
        </w:rPr>
        <w:t xml:space="preserve"> παραμερίζεται. Το ίδιο και το Διάταγμα ημερ. 29/3/2013 που εκδόθηκε  εναντίον του Εφεσείοντα στο πλαίσιο της Γενικής Αίτησης με αρ. 161/2013. Έξοδα της πρωτόδικης διαδικασίας και έξοδα της Έφεσης υπέρ του Εφεσείοντα</w:t>
      </w:r>
      <w:r w:rsidR="003F5844">
        <w:rPr>
          <w:rFonts w:ascii="Bookman Old Style" w:hAnsi="Bookman Old Style" w:cs="Arial"/>
          <w:sz w:val="28"/>
          <w:szCs w:val="28"/>
          <w:lang w:val="el-GR"/>
        </w:rPr>
        <w:t xml:space="preserve">, όπως θα υπολογισθούν, πλέον ΦΠΑ αν υπάρχει. </w:t>
      </w:r>
      <w:r w:rsidR="008F279F">
        <w:rPr>
          <w:rFonts w:ascii="Bookman Old Style" w:hAnsi="Bookman Old Style" w:cs="Arial"/>
          <w:sz w:val="28"/>
          <w:szCs w:val="28"/>
          <w:lang w:val="el-GR"/>
        </w:rPr>
        <w:t>Ο Εφεσείων να καταχωρ</w:t>
      </w:r>
      <w:r w:rsidR="00315384">
        <w:rPr>
          <w:rFonts w:ascii="Bookman Old Style" w:hAnsi="Bookman Old Style" w:cs="Arial"/>
          <w:sz w:val="28"/>
          <w:szCs w:val="28"/>
          <w:lang w:val="el-GR"/>
        </w:rPr>
        <w:t>ί</w:t>
      </w:r>
      <w:r w:rsidR="008F279F">
        <w:rPr>
          <w:rFonts w:ascii="Bookman Old Style" w:hAnsi="Bookman Old Style" w:cs="Arial"/>
          <w:sz w:val="28"/>
          <w:szCs w:val="28"/>
          <w:lang w:val="el-GR"/>
        </w:rPr>
        <w:t>σει</w:t>
      </w:r>
      <w:r w:rsidR="00EE3C43">
        <w:rPr>
          <w:rFonts w:ascii="Bookman Old Style" w:hAnsi="Bookman Old Style" w:cs="Arial"/>
          <w:sz w:val="28"/>
          <w:szCs w:val="28"/>
          <w:lang w:val="el-GR"/>
        </w:rPr>
        <w:t xml:space="preserve"> ένσταση εντός </w:t>
      </w:r>
      <w:r w:rsidR="00AB7E61">
        <w:rPr>
          <w:rFonts w:ascii="Bookman Old Style" w:hAnsi="Bookman Old Style" w:cs="Arial"/>
          <w:sz w:val="28"/>
          <w:szCs w:val="28"/>
          <w:lang w:val="en-US"/>
        </w:rPr>
        <w:t>30</w:t>
      </w:r>
      <w:r w:rsidR="00EE3C43">
        <w:rPr>
          <w:rFonts w:ascii="Bookman Old Style" w:hAnsi="Bookman Old Style" w:cs="Arial"/>
          <w:sz w:val="28"/>
          <w:szCs w:val="28"/>
          <w:lang w:val="el-GR"/>
        </w:rPr>
        <w:t xml:space="preserve"> ημερών.</w:t>
      </w:r>
    </w:p>
    <w:p w14:paraId="7E3BC76A" w14:textId="77777777" w:rsidR="00E144B9" w:rsidRPr="00FC7324" w:rsidRDefault="00E144B9" w:rsidP="00FC7324">
      <w:pPr>
        <w:spacing w:line="480" w:lineRule="auto"/>
        <w:ind w:right="-35"/>
        <w:jc w:val="both"/>
        <w:rPr>
          <w:rFonts w:ascii="Bookman Old Style" w:hAnsi="Bookman Old Style" w:cs="Arial"/>
          <w:sz w:val="28"/>
          <w:szCs w:val="28"/>
          <w:lang w:val="el-GR"/>
        </w:rPr>
      </w:pPr>
    </w:p>
    <w:p w14:paraId="72BF56E2" w14:textId="77777777" w:rsidR="00E144B9" w:rsidRDefault="00E144B9" w:rsidP="006D563F">
      <w:pPr>
        <w:spacing w:line="276" w:lineRule="auto"/>
        <w:ind w:right="-35"/>
        <w:jc w:val="both"/>
        <w:rPr>
          <w:rFonts w:ascii="Bookman Old Style" w:hAnsi="Bookman Old Style" w:cs="Arial"/>
          <w:sz w:val="26"/>
          <w:szCs w:val="26"/>
          <w:lang w:val="el-GR"/>
        </w:rPr>
      </w:pPr>
    </w:p>
    <w:p w14:paraId="31A9B03D" w14:textId="77777777" w:rsidR="003F5844" w:rsidRDefault="003F5844" w:rsidP="006D563F">
      <w:pPr>
        <w:spacing w:line="276" w:lineRule="auto"/>
        <w:ind w:right="-35"/>
        <w:jc w:val="both"/>
        <w:rPr>
          <w:rFonts w:ascii="Bookman Old Style" w:hAnsi="Bookman Old Style" w:cs="Arial"/>
          <w:sz w:val="26"/>
          <w:szCs w:val="26"/>
          <w:lang w:val="el-GR"/>
        </w:rPr>
      </w:pPr>
    </w:p>
    <w:p w14:paraId="735E9E6E" w14:textId="77777777" w:rsidR="00E144B9" w:rsidRPr="006D563F" w:rsidRDefault="00E144B9" w:rsidP="006D563F">
      <w:pPr>
        <w:spacing w:line="276" w:lineRule="auto"/>
        <w:ind w:right="-35"/>
        <w:jc w:val="both"/>
        <w:rPr>
          <w:rFonts w:ascii="Bookman Old Style" w:hAnsi="Bookman Old Style" w:cs="Arial"/>
          <w:sz w:val="26"/>
          <w:szCs w:val="26"/>
          <w:lang w:val="el-GR"/>
        </w:rPr>
      </w:pPr>
    </w:p>
    <w:p w14:paraId="1C26EFD2" w14:textId="77777777" w:rsidR="006A35A6" w:rsidRPr="006D563F" w:rsidRDefault="006A35A6" w:rsidP="006D563F">
      <w:pPr>
        <w:spacing w:line="276" w:lineRule="auto"/>
        <w:ind w:right="-35"/>
        <w:jc w:val="both"/>
        <w:rPr>
          <w:rFonts w:ascii="Bookman Old Style" w:hAnsi="Bookman Old Style" w:cs="Arial"/>
          <w:b/>
          <w:sz w:val="26"/>
          <w:szCs w:val="26"/>
          <w:lang w:val="el-GR"/>
        </w:rPr>
      </w:pPr>
    </w:p>
    <w:p w14:paraId="1CCB1F49" w14:textId="2174669F" w:rsidR="006A35A6" w:rsidRDefault="006A35A6"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3F5844">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Pr="008518F5">
        <w:rPr>
          <w:rFonts w:ascii="Bookman Old Style" w:hAnsi="Bookman Old Style" w:cs="Arial"/>
          <w:b/>
          <w:sz w:val="28"/>
          <w:szCs w:val="28"/>
          <w:lang w:val="el-GR"/>
        </w:rPr>
        <w:t>, Δ.</w:t>
      </w:r>
    </w:p>
    <w:p w14:paraId="34452433" w14:textId="77777777" w:rsidR="006B2B34" w:rsidRPr="008518F5" w:rsidRDefault="006B2B34" w:rsidP="005B4561">
      <w:pPr>
        <w:spacing w:line="480" w:lineRule="auto"/>
        <w:ind w:right="-35"/>
        <w:jc w:val="both"/>
        <w:rPr>
          <w:rFonts w:ascii="Bookman Old Style" w:hAnsi="Bookman Old Style" w:cs="Arial"/>
          <w:b/>
          <w:sz w:val="28"/>
          <w:szCs w:val="28"/>
          <w:lang w:val="el-GR"/>
        </w:rPr>
      </w:pPr>
    </w:p>
    <w:p w14:paraId="2AE8CD50" w14:textId="3FBF1AD0" w:rsidR="006A35A6" w:rsidRDefault="00422938"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3F5844">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6CCDA0F3" w14:textId="77777777" w:rsidR="006B2B34" w:rsidRDefault="006B2B34" w:rsidP="005B4561">
      <w:pPr>
        <w:spacing w:line="480" w:lineRule="auto"/>
        <w:ind w:right="-35"/>
        <w:jc w:val="both"/>
        <w:rPr>
          <w:rFonts w:ascii="Bookman Old Style" w:hAnsi="Bookman Old Style" w:cs="Arial"/>
          <w:b/>
          <w:sz w:val="28"/>
          <w:szCs w:val="28"/>
          <w:lang w:val="el-GR"/>
        </w:rPr>
      </w:pPr>
    </w:p>
    <w:p w14:paraId="34BBB738" w14:textId="0AB0E7F3" w:rsidR="00397480" w:rsidRDefault="00397480" w:rsidP="005B4561">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3F5844">
        <w:rPr>
          <w:rFonts w:ascii="Bookman Old Style" w:hAnsi="Bookman Old Style" w:cs="Arial"/>
          <w:b/>
          <w:sz w:val="28"/>
          <w:szCs w:val="28"/>
          <w:lang w:val="el-GR"/>
        </w:rPr>
        <w:t xml:space="preserve">               </w:t>
      </w:r>
      <w:r>
        <w:rPr>
          <w:rFonts w:ascii="Bookman Old Style" w:hAnsi="Bookman Old Style" w:cs="Arial"/>
          <w:b/>
          <w:sz w:val="28"/>
          <w:szCs w:val="28"/>
          <w:lang w:val="el-GR"/>
        </w:rPr>
        <w:t>Α. ΔΑΥΙΔ, Δ.</w:t>
      </w:r>
    </w:p>
    <w:p w14:paraId="68B67DDD" w14:textId="77777777" w:rsidR="00397480" w:rsidRPr="008518F5" w:rsidRDefault="00397480" w:rsidP="005B4561">
      <w:pPr>
        <w:spacing w:line="480" w:lineRule="auto"/>
        <w:ind w:right="-35"/>
        <w:jc w:val="both"/>
        <w:rPr>
          <w:rFonts w:ascii="Bookman Old Style" w:hAnsi="Bookman Old Style" w:cs="Arial"/>
          <w:b/>
          <w:sz w:val="28"/>
          <w:szCs w:val="28"/>
          <w:lang w:val="el-GR"/>
        </w:rPr>
      </w:pPr>
    </w:p>
    <w:p w14:paraId="1FA6EC6C" w14:textId="1605B6A8" w:rsidR="006A35A6" w:rsidRPr="008518F5" w:rsidRDefault="006A35A6" w:rsidP="005B4561">
      <w:pPr>
        <w:spacing w:line="480" w:lineRule="auto"/>
        <w:ind w:right="-35"/>
        <w:jc w:val="both"/>
        <w:rPr>
          <w:rFonts w:ascii="Bookman Old Style" w:hAnsi="Bookman Old Style" w:cs="Arial"/>
          <w:b/>
          <w:sz w:val="28"/>
          <w:szCs w:val="28"/>
          <w:lang w:val="el-GR"/>
        </w:rPr>
      </w:pPr>
    </w:p>
    <w:sectPr w:rsidR="006A35A6" w:rsidRPr="008518F5" w:rsidSect="00904291">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3244" w14:textId="77777777" w:rsidR="00EC1F7C" w:rsidRDefault="00EC1F7C" w:rsidP="00B43113">
      <w:r>
        <w:separator/>
      </w:r>
    </w:p>
  </w:endnote>
  <w:endnote w:type="continuationSeparator" w:id="0">
    <w:p w14:paraId="58F2CFC9" w14:textId="77777777" w:rsidR="00EC1F7C" w:rsidRDefault="00EC1F7C"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82CF" w14:textId="77777777" w:rsidR="00EC1F7C" w:rsidRDefault="00EC1F7C" w:rsidP="00B43113">
      <w:r>
        <w:separator/>
      </w:r>
    </w:p>
  </w:footnote>
  <w:footnote w:type="continuationSeparator" w:id="0">
    <w:p w14:paraId="037FC79E" w14:textId="77777777" w:rsidR="00EC1F7C" w:rsidRDefault="00EC1F7C" w:rsidP="00B43113">
      <w:r>
        <w:continuationSeparator/>
      </w:r>
    </w:p>
  </w:footnote>
  <w:footnote w:id="1">
    <w:p w14:paraId="561CA4AF" w14:textId="77777777" w:rsidR="00C2202D" w:rsidRDefault="00C2202D" w:rsidP="00C2202D">
      <w:pPr>
        <w:pStyle w:val="FootnoteText"/>
        <w:spacing w:line="276" w:lineRule="auto"/>
        <w:ind w:left="142" w:hanging="142"/>
        <w:jc w:val="both"/>
        <w:rPr>
          <w:rFonts w:ascii="Bookman Old Style" w:hAnsi="Bookman Old Style"/>
          <w:i/>
          <w:iCs/>
          <w:sz w:val="22"/>
          <w:szCs w:val="22"/>
          <w:lang w:val="en-US"/>
        </w:rPr>
      </w:pPr>
      <w:r>
        <w:rPr>
          <w:rStyle w:val="FootnoteReference"/>
        </w:rPr>
        <w:footnoteRef/>
      </w:r>
      <w:r>
        <w:t xml:space="preserve"> </w:t>
      </w:r>
      <w:r w:rsidRPr="0005037A">
        <w:rPr>
          <w:rFonts w:ascii="Bookman Old Style" w:hAnsi="Bookman Old Style"/>
          <w:sz w:val="22"/>
          <w:szCs w:val="22"/>
        </w:rPr>
        <w:t>"</w:t>
      </w:r>
      <w:r w:rsidRPr="0005037A">
        <w:rPr>
          <w:rFonts w:ascii="Bookman Old Style" w:hAnsi="Bookman Old Style"/>
          <w:b/>
          <w:bCs/>
          <w:i/>
          <w:iCs/>
          <w:sz w:val="22"/>
          <w:szCs w:val="22"/>
          <w:lang w:val="en-US"/>
        </w:rPr>
        <w:t>2.</w:t>
      </w:r>
      <w:r w:rsidRPr="00A96EBC">
        <w:rPr>
          <w:rFonts w:ascii="Bookman Old Style" w:hAnsi="Bookman Old Style"/>
          <w:b/>
          <w:bCs/>
          <w:i/>
          <w:iCs/>
          <w:sz w:val="22"/>
          <w:szCs w:val="22"/>
          <w:lang w:val="en-US"/>
        </w:rPr>
        <w:t xml:space="preserve"> </w:t>
      </w:r>
      <w:r w:rsidRPr="0005037A">
        <w:rPr>
          <w:rFonts w:ascii="Bookman Old Style" w:hAnsi="Bookman Old Style"/>
          <w:b/>
          <w:bCs/>
          <w:i/>
          <w:iCs/>
          <w:sz w:val="22"/>
          <w:szCs w:val="22"/>
          <w:lang w:val="en-US"/>
        </w:rPr>
        <w:t xml:space="preserve">(1)  </w:t>
      </w:r>
      <w:r w:rsidRPr="0005037A">
        <w:rPr>
          <w:rFonts w:ascii="Bookman Old Style" w:hAnsi="Bookman Old Style"/>
          <w:i/>
          <w:iCs/>
          <w:sz w:val="22"/>
          <w:szCs w:val="22"/>
          <w:lang w:val="en-US"/>
        </w:rPr>
        <w:t>The service shall, whenever it is practicable, be effected by leaving the copy with the person to be served; but if he is not found at his house or at his usual place of employment, the service shall be deemed to be effected if the copy is left-</w:t>
      </w:r>
    </w:p>
    <w:p w14:paraId="23E6A95E" w14:textId="77777777" w:rsidR="00C2202D" w:rsidRPr="0005037A" w:rsidRDefault="00C2202D" w:rsidP="00C2202D">
      <w:pPr>
        <w:pStyle w:val="FootnoteText"/>
        <w:spacing w:line="276" w:lineRule="auto"/>
        <w:ind w:left="142" w:hanging="142"/>
        <w:jc w:val="both"/>
        <w:rPr>
          <w:rFonts w:ascii="Bookman Old Style" w:hAnsi="Bookman Old Style"/>
          <w:i/>
          <w:iCs/>
          <w:sz w:val="22"/>
          <w:szCs w:val="22"/>
        </w:rPr>
      </w:pPr>
    </w:p>
    <w:p w14:paraId="62FC32D1" w14:textId="77777777" w:rsidR="00C2202D" w:rsidRPr="0005037A" w:rsidRDefault="00C2202D" w:rsidP="00C2202D">
      <w:pPr>
        <w:spacing w:line="276" w:lineRule="auto"/>
        <w:jc w:val="both"/>
        <w:rPr>
          <w:rFonts w:ascii="Bookman Old Style" w:hAnsi="Bookman Old Style"/>
          <w:i/>
          <w:iCs/>
          <w:sz w:val="22"/>
          <w:szCs w:val="22"/>
        </w:rPr>
      </w:pPr>
      <w:r w:rsidRPr="0005037A">
        <w:rPr>
          <w:rFonts w:ascii="Bookman Old Style" w:hAnsi="Bookman Old Style"/>
          <w:i/>
          <w:iCs/>
          <w:sz w:val="22"/>
          <w:szCs w:val="22"/>
          <w:lang w:val="en-US"/>
        </w:rPr>
        <w:t> </w:t>
      </w:r>
      <w:r w:rsidRPr="0005037A">
        <w:rPr>
          <w:rFonts w:ascii="Bookman Old Style" w:hAnsi="Bookman Old Style"/>
          <w:b/>
          <w:bCs/>
          <w:i/>
          <w:iCs/>
          <w:sz w:val="22"/>
          <w:szCs w:val="22"/>
          <w:lang w:val="en-US"/>
        </w:rPr>
        <w:t>(i)  with any member of his family of apparently 16 years and upwards then in his town or village or within the lands thereof</w:t>
      </w:r>
      <w:r w:rsidRPr="0005037A">
        <w:rPr>
          <w:rFonts w:ascii="Bookman Old Style" w:hAnsi="Bookman Old Style"/>
          <w:i/>
          <w:iCs/>
          <w:sz w:val="22"/>
          <w:szCs w:val="22"/>
          <w:lang w:val="en-US"/>
        </w:rPr>
        <w:t>; or</w:t>
      </w:r>
    </w:p>
    <w:p w14:paraId="00367A8F" w14:textId="77777777" w:rsidR="00C2202D" w:rsidRPr="0005037A" w:rsidRDefault="00C2202D" w:rsidP="00C2202D">
      <w:pPr>
        <w:spacing w:line="276" w:lineRule="auto"/>
        <w:jc w:val="both"/>
        <w:rPr>
          <w:rFonts w:ascii="Bookman Old Style" w:hAnsi="Bookman Old Style"/>
          <w:i/>
          <w:iCs/>
          <w:sz w:val="22"/>
          <w:szCs w:val="22"/>
        </w:rPr>
      </w:pPr>
      <w:r w:rsidRPr="0005037A">
        <w:rPr>
          <w:rFonts w:ascii="Bookman Old Style" w:hAnsi="Bookman Old Style"/>
          <w:i/>
          <w:iCs/>
          <w:sz w:val="22"/>
          <w:szCs w:val="22"/>
          <w:lang w:val="en-US"/>
        </w:rPr>
        <w:t>(ii)  with any person apparently of such age and in charge of the place of his employment; or </w:t>
      </w:r>
    </w:p>
    <w:p w14:paraId="45087260" w14:textId="77777777" w:rsidR="00C2202D" w:rsidRPr="0005037A" w:rsidRDefault="00C2202D" w:rsidP="00C2202D">
      <w:pPr>
        <w:spacing w:line="276" w:lineRule="auto"/>
        <w:jc w:val="both"/>
        <w:rPr>
          <w:rFonts w:ascii="Bookman Old Style" w:hAnsi="Bookman Old Style"/>
          <w:i/>
          <w:iCs/>
          <w:sz w:val="22"/>
          <w:szCs w:val="22"/>
        </w:rPr>
      </w:pPr>
      <w:r w:rsidRPr="0005037A">
        <w:rPr>
          <w:rFonts w:ascii="Bookman Old Style" w:hAnsi="Bookman Old Style"/>
          <w:i/>
          <w:iCs/>
          <w:sz w:val="22"/>
          <w:szCs w:val="22"/>
          <w:lang w:val="en-US"/>
        </w:rPr>
        <w:t>(iii)  with his master in the case of a servant living with his master."</w:t>
      </w:r>
    </w:p>
    <w:p w14:paraId="7018B014" w14:textId="77777777" w:rsidR="00C2202D" w:rsidRPr="0005037A" w:rsidRDefault="00C2202D" w:rsidP="00C2202D">
      <w:pPr>
        <w:spacing w:line="276" w:lineRule="auto"/>
        <w:ind w:left="425"/>
        <w:jc w:val="both"/>
        <w:rPr>
          <w:rFonts w:ascii="Bookman Old Style" w:hAnsi="Bookman Old Style"/>
          <w:i/>
          <w:iCs/>
          <w:sz w:val="22"/>
          <w:szCs w:val="22"/>
        </w:rPr>
      </w:pPr>
      <w:r w:rsidRPr="0005037A">
        <w:rPr>
          <w:rFonts w:ascii="Bookman Old Style" w:hAnsi="Bookman Old Style"/>
          <w:i/>
          <w:iCs/>
          <w:sz w:val="22"/>
          <w:szCs w:val="22"/>
          <w:lang w:val="en-US"/>
        </w:rPr>
        <w:t xml:space="preserve">  </w:t>
      </w:r>
      <w:r w:rsidRPr="0005037A">
        <w:rPr>
          <w:rFonts w:ascii="Bookman Old Style" w:hAnsi="Bookman Old Style"/>
          <w:b/>
          <w:bCs/>
          <w:i/>
          <w:iCs/>
          <w:sz w:val="22"/>
          <w:szCs w:val="22"/>
          <w:lang w:val="en-US"/>
        </w:rPr>
        <w:t> </w:t>
      </w:r>
    </w:p>
    <w:p w14:paraId="7E27EA5F" w14:textId="77777777" w:rsidR="00C2202D" w:rsidRPr="0097440E" w:rsidRDefault="00C2202D" w:rsidP="00C2202D">
      <w:pPr>
        <w:pStyle w:val="FootnoteText"/>
        <w:spacing w:line="276" w:lineRule="auto"/>
        <w:jc w:val="both"/>
        <w:rPr>
          <w:rFonts w:ascii="Bookman Old Style" w:hAnsi="Bookman Old Style"/>
          <w:sz w:val="22"/>
          <w:szCs w:val="22"/>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217215B6" w:rsidR="00CF75E4" w:rsidRDefault="00CF75E4">
    <w:pPr>
      <w:pStyle w:val="Header"/>
      <w:jc w:val="center"/>
    </w:pPr>
    <w:r>
      <w:fldChar w:fldCharType="begin"/>
    </w:r>
    <w:r>
      <w:instrText xml:space="preserve"> PAGE   \* MERGEFORMAT </w:instrText>
    </w:r>
    <w:r>
      <w:fldChar w:fldCharType="separate"/>
    </w:r>
    <w:r w:rsidR="00D8339F">
      <w:rPr>
        <w:noProof/>
      </w:rPr>
      <w:t>11</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037A"/>
    <w:rsid w:val="00050ACB"/>
    <w:rsid w:val="00053E4D"/>
    <w:rsid w:val="000576DF"/>
    <w:rsid w:val="00057AE4"/>
    <w:rsid w:val="00057B74"/>
    <w:rsid w:val="00061084"/>
    <w:rsid w:val="0006133B"/>
    <w:rsid w:val="000613C5"/>
    <w:rsid w:val="00062D2B"/>
    <w:rsid w:val="00063486"/>
    <w:rsid w:val="00076727"/>
    <w:rsid w:val="00080CBF"/>
    <w:rsid w:val="00083841"/>
    <w:rsid w:val="0008752B"/>
    <w:rsid w:val="00091BC2"/>
    <w:rsid w:val="0009358C"/>
    <w:rsid w:val="000A22CD"/>
    <w:rsid w:val="000A2E70"/>
    <w:rsid w:val="000A685B"/>
    <w:rsid w:val="000A69F0"/>
    <w:rsid w:val="000A7342"/>
    <w:rsid w:val="000B53F3"/>
    <w:rsid w:val="000B55AF"/>
    <w:rsid w:val="000B565F"/>
    <w:rsid w:val="000B628C"/>
    <w:rsid w:val="000C4171"/>
    <w:rsid w:val="000C432E"/>
    <w:rsid w:val="000D1294"/>
    <w:rsid w:val="000D512B"/>
    <w:rsid w:val="000D5E56"/>
    <w:rsid w:val="000D763E"/>
    <w:rsid w:val="000E4325"/>
    <w:rsid w:val="000E77E5"/>
    <w:rsid w:val="000F0639"/>
    <w:rsid w:val="00101DC5"/>
    <w:rsid w:val="00105780"/>
    <w:rsid w:val="001070CB"/>
    <w:rsid w:val="0011210C"/>
    <w:rsid w:val="00113285"/>
    <w:rsid w:val="00117C36"/>
    <w:rsid w:val="00120A8A"/>
    <w:rsid w:val="00121049"/>
    <w:rsid w:val="0012137B"/>
    <w:rsid w:val="00124EED"/>
    <w:rsid w:val="0013347A"/>
    <w:rsid w:val="0013436B"/>
    <w:rsid w:val="00134644"/>
    <w:rsid w:val="00136F62"/>
    <w:rsid w:val="00137315"/>
    <w:rsid w:val="00137D46"/>
    <w:rsid w:val="001427CF"/>
    <w:rsid w:val="00144D59"/>
    <w:rsid w:val="001478D9"/>
    <w:rsid w:val="001505E5"/>
    <w:rsid w:val="001506D1"/>
    <w:rsid w:val="0015192F"/>
    <w:rsid w:val="0015347A"/>
    <w:rsid w:val="0016041B"/>
    <w:rsid w:val="001607AD"/>
    <w:rsid w:val="00160B11"/>
    <w:rsid w:val="00162A0D"/>
    <w:rsid w:val="00171E30"/>
    <w:rsid w:val="001725B7"/>
    <w:rsid w:val="0017450C"/>
    <w:rsid w:val="0017483E"/>
    <w:rsid w:val="0018425D"/>
    <w:rsid w:val="00186474"/>
    <w:rsid w:val="00190856"/>
    <w:rsid w:val="001950A7"/>
    <w:rsid w:val="00197D26"/>
    <w:rsid w:val="001A0D7E"/>
    <w:rsid w:val="001A1A4B"/>
    <w:rsid w:val="001B23EF"/>
    <w:rsid w:val="001B3040"/>
    <w:rsid w:val="001B4997"/>
    <w:rsid w:val="001C3A40"/>
    <w:rsid w:val="001C5EF1"/>
    <w:rsid w:val="001D0165"/>
    <w:rsid w:val="001D01FF"/>
    <w:rsid w:val="001D5A7F"/>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071F6"/>
    <w:rsid w:val="002107FF"/>
    <w:rsid w:val="00211B73"/>
    <w:rsid w:val="002121AF"/>
    <w:rsid w:val="00212C84"/>
    <w:rsid w:val="00216C55"/>
    <w:rsid w:val="00221854"/>
    <w:rsid w:val="00226104"/>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1D4C"/>
    <w:rsid w:val="002C3BDD"/>
    <w:rsid w:val="002C3E1F"/>
    <w:rsid w:val="002C5DEA"/>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5384"/>
    <w:rsid w:val="00316BE5"/>
    <w:rsid w:val="00316C5D"/>
    <w:rsid w:val="003231CA"/>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94B2D"/>
    <w:rsid w:val="00395154"/>
    <w:rsid w:val="00397480"/>
    <w:rsid w:val="00397BAC"/>
    <w:rsid w:val="003A0304"/>
    <w:rsid w:val="003A158D"/>
    <w:rsid w:val="003A1852"/>
    <w:rsid w:val="003A3BA5"/>
    <w:rsid w:val="003B5736"/>
    <w:rsid w:val="003C0033"/>
    <w:rsid w:val="003C01BC"/>
    <w:rsid w:val="003C2E3E"/>
    <w:rsid w:val="003D3D98"/>
    <w:rsid w:val="003D7822"/>
    <w:rsid w:val="003E1C8C"/>
    <w:rsid w:val="003E1F2E"/>
    <w:rsid w:val="003E3157"/>
    <w:rsid w:val="003E4384"/>
    <w:rsid w:val="003E4FB8"/>
    <w:rsid w:val="003E50AF"/>
    <w:rsid w:val="003E67F9"/>
    <w:rsid w:val="003F0741"/>
    <w:rsid w:val="003F0FB1"/>
    <w:rsid w:val="003F158B"/>
    <w:rsid w:val="003F18B0"/>
    <w:rsid w:val="003F287C"/>
    <w:rsid w:val="003F3975"/>
    <w:rsid w:val="003F479E"/>
    <w:rsid w:val="003F5844"/>
    <w:rsid w:val="003F5C16"/>
    <w:rsid w:val="003F72C8"/>
    <w:rsid w:val="00401B3C"/>
    <w:rsid w:val="00402401"/>
    <w:rsid w:val="00403265"/>
    <w:rsid w:val="00403528"/>
    <w:rsid w:val="004038F0"/>
    <w:rsid w:val="00411F7A"/>
    <w:rsid w:val="0041369F"/>
    <w:rsid w:val="004162C4"/>
    <w:rsid w:val="00416CD0"/>
    <w:rsid w:val="004211E7"/>
    <w:rsid w:val="00422938"/>
    <w:rsid w:val="00422ADE"/>
    <w:rsid w:val="00425FEA"/>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2618"/>
    <w:rsid w:val="00484799"/>
    <w:rsid w:val="0048527C"/>
    <w:rsid w:val="00486CB3"/>
    <w:rsid w:val="00492802"/>
    <w:rsid w:val="00495A48"/>
    <w:rsid w:val="00497E25"/>
    <w:rsid w:val="004A086C"/>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1C2E"/>
    <w:rsid w:val="0054698F"/>
    <w:rsid w:val="00547689"/>
    <w:rsid w:val="00551AF3"/>
    <w:rsid w:val="0055241D"/>
    <w:rsid w:val="00553997"/>
    <w:rsid w:val="0056063D"/>
    <w:rsid w:val="005629C5"/>
    <w:rsid w:val="00571FD5"/>
    <w:rsid w:val="00573B9E"/>
    <w:rsid w:val="005764D2"/>
    <w:rsid w:val="00580AED"/>
    <w:rsid w:val="00582B8B"/>
    <w:rsid w:val="00585D3C"/>
    <w:rsid w:val="005A2C48"/>
    <w:rsid w:val="005A3455"/>
    <w:rsid w:val="005A5C31"/>
    <w:rsid w:val="005A5FB1"/>
    <w:rsid w:val="005A6169"/>
    <w:rsid w:val="005A72E5"/>
    <w:rsid w:val="005B28A2"/>
    <w:rsid w:val="005B2A81"/>
    <w:rsid w:val="005B4561"/>
    <w:rsid w:val="005B7ADB"/>
    <w:rsid w:val="005C013E"/>
    <w:rsid w:val="005C14ED"/>
    <w:rsid w:val="005C1C7C"/>
    <w:rsid w:val="005C33AC"/>
    <w:rsid w:val="005C3B3A"/>
    <w:rsid w:val="005C6032"/>
    <w:rsid w:val="005C73EE"/>
    <w:rsid w:val="005D2199"/>
    <w:rsid w:val="005D28AB"/>
    <w:rsid w:val="005D2E55"/>
    <w:rsid w:val="005D2F28"/>
    <w:rsid w:val="005D5130"/>
    <w:rsid w:val="005D61C0"/>
    <w:rsid w:val="005D6545"/>
    <w:rsid w:val="005E022A"/>
    <w:rsid w:val="005E445B"/>
    <w:rsid w:val="005E71BE"/>
    <w:rsid w:val="005E7D07"/>
    <w:rsid w:val="00601276"/>
    <w:rsid w:val="00607D06"/>
    <w:rsid w:val="006136F7"/>
    <w:rsid w:val="00622061"/>
    <w:rsid w:val="00624596"/>
    <w:rsid w:val="006334D9"/>
    <w:rsid w:val="006340C0"/>
    <w:rsid w:val="00634CA2"/>
    <w:rsid w:val="006351AC"/>
    <w:rsid w:val="00637F1D"/>
    <w:rsid w:val="006444DE"/>
    <w:rsid w:val="00646095"/>
    <w:rsid w:val="00647A1A"/>
    <w:rsid w:val="006517ED"/>
    <w:rsid w:val="0065535A"/>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2B34"/>
    <w:rsid w:val="006B3E07"/>
    <w:rsid w:val="006C0510"/>
    <w:rsid w:val="006D20A9"/>
    <w:rsid w:val="006D563F"/>
    <w:rsid w:val="006D5852"/>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67EE1"/>
    <w:rsid w:val="007715DB"/>
    <w:rsid w:val="00773FD7"/>
    <w:rsid w:val="00774795"/>
    <w:rsid w:val="007748E6"/>
    <w:rsid w:val="007758DA"/>
    <w:rsid w:val="00776545"/>
    <w:rsid w:val="00776D6B"/>
    <w:rsid w:val="00777A4E"/>
    <w:rsid w:val="00781979"/>
    <w:rsid w:val="00791BEC"/>
    <w:rsid w:val="00796C14"/>
    <w:rsid w:val="007A1FA8"/>
    <w:rsid w:val="007A57DA"/>
    <w:rsid w:val="007B66F0"/>
    <w:rsid w:val="007B7C5B"/>
    <w:rsid w:val="007C0DBD"/>
    <w:rsid w:val="007C114B"/>
    <w:rsid w:val="007C5251"/>
    <w:rsid w:val="007C56EF"/>
    <w:rsid w:val="007C61D9"/>
    <w:rsid w:val="007D15BB"/>
    <w:rsid w:val="007D15FD"/>
    <w:rsid w:val="007D3597"/>
    <w:rsid w:val="007D6E0D"/>
    <w:rsid w:val="007D7DDA"/>
    <w:rsid w:val="007E3146"/>
    <w:rsid w:val="007E3626"/>
    <w:rsid w:val="007E4F68"/>
    <w:rsid w:val="007F0ED2"/>
    <w:rsid w:val="007F6B75"/>
    <w:rsid w:val="007F7BAA"/>
    <w:rsid w:val="00800232"/>
    <w:rsid w:val="008034A8"/>
    <w:rsid w:val="00806143"/>
    <w:rsid w:val="00810B04"/>
    <w:rsid w:val="00811775"/>
    <w:rsid w:val="00813E9D"/>
    <w:rsid w:val="00814C8C"/>
    <w:rsid w:val="00814F25"/>
    <w:rsid w:val="0081642C"/>
    <w:rsid w:val="00825237"/>
    <w:rsid w:val="008264A6"/>
    <w:rsid w:val="00830BA8"/>
    <w:rsid w:val="00836396"/>
    <w:rsid w:val="008376CB"/>
    <w:rsid w:val="00837E71"/>
    <w:rsid w:val="008418AB"/>
    <w:rsid w:val="00843D99"/>
    <w:rsid w:val="00846C09"/>
    <w:rsid w:val="00851456"/>
    <w:rsid w:val="008518F5"/>
    <w:rsid w:val="00852ED4"/>
    <w:rsid w:val="00854B6B"/>
    <w:rsid w:val="00865FA3"/>
    <w:rsid w:val="0087152E"/>
    <w:rsid w:val="0087268E"/>
    <w:rsid w:val="00874F0C"/>
    <w:rsid w:val="0087796B"/>
    <w:rsid w:val="00891075"/>
    <w:rsid w:val="00891B19"/>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E2F19"/>
    <w:rsid w:val="008E307B"/>
    <w:rsid w:val="008E393D"/>
    <w:rsid w:val="008E5738"/>
    <w:rsid w:val="008F02A1"/>
    <w:rsid w:val="008F0FD5"/>
    <w:rsid w:val="008F279F"/>
    <w:rsid w:val="008F2A45"/>
    <w:rsid w:val="008F40F2"/>
    <w:rsid w:val="008F4867"/>
    <w:rsid w:val="008F7E1A"/>
    <w:rsid w:val="008F7F6D"/>
    <w:rsid w:val="009011BE"/>
    <w:rsid w:val="00904291"/>
    <w:rsid w:val="00906E2C"/>
    <w:rsid w:val="00907704"/>
    <w:rsid w:val="00910F1D"/>
    <w:rsid w:val="00912167"/>
    <w:rsid w:val="00913BEE"/>
    <w:rsid w:val="009147CC"/>
    <w:rsid w:val="00916EE8"/>
    <w:rsid w:val="00925D22"/>
    <w:rsid w:val="00932F16"/>
    <w:rsid w:val="0093377F"/>
    <w:rsid w:val="0093471C"/>
    <w:rsid w:val="009363BE"/>
    <w:rsid w:val="00937ED0"/>
    <w:rsid w:val="00940BE8"/>
    <w:rsid w:val="00944B0B"/>
    <w:rsid w:val="009517D6"/>
    <w:rsid w:val="00952D41"/>
    <w:rsid w:val="00953421"/>
    <w:rsid w:val="00960BCE"/>
    <w:rsid w:val="0096195E"/>
    <w:rsid w:val="00962E2D"/>
    <w:rsid w:val="00963291"/>
    <w:rsid w:val="00964907"/>
    <w:rsid w:val="00971F93"/>
    <w:rsid w:val="00972247"/>
    <w:rsid w:val="00972616"/>
    <w:rsid w:val="0097440E"/>
    <w:rsid w:val="009761C5"/>
    <w:rsid w:val="0098186B"/>
    <w:rsid w:val="009823C0"/>
    <w:rsid w:val="00982C82"/>
    <w:rsid w:val="00984862"/>
    <w:rsid w:val="00985691"/>
    <w:rsid w:val="00986266"/>
    <w:rsid w:val="009949BE"/>
    <w:rsid w:val="00996F5D"/>
    <w:rsid w:val="009A37F7"/>
    <w:rsid w:val="009A5ACF"/>
    <w:rsid w:val="009A606D"/>
    <w:rsid w:val="009A6EC2"/>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9427F"/>
    <w:rsid w:val="00A96EBC"/>
    <w:rsid w:val="00AA0AA7"/>
    <w:rsid w:val="00AA0C4D"/>
    <w:rsid w:val="00AA2D71"/>
    <w:rsid w:val="00AA60DB"/>
    <w:rsid w:val="00AB04CA"/>
    <w:rsid w:val="00AB08EA"/>
    <w:rsid w:val="00AB1D29"/>
    <w:rsid w:val="00AB27DC"/>
    <w:rsid w:val="00AB2E9E"/>
    <w:rsid w:val="00AB4073"/>
    <w:rsid w:val="00AB4289"/>
    <w:rsid w:val="00AB54AD"/>
    <w:rsid w:val="00AB5ECD"/>
    <w:rsid w:val="00AB65C0"/>
    <w:rsid w:val="00AB7E61"/>
    <w:rsid w:val="00AC1A6E"/>
    <w:rsid w:val="00AD1ED2"/>
    <w:rsid w:val="00AD2454"/>
    <w:rsid w:val="00AD4B81"/>
    <w:rsid w:val="00AE24CA"/>
    <w:rsid w:val="00AE75E3"/>
    <w:rsid w:val="00AF0191"/>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6B51"/>
    <w:rsid w:val="00B87144"/>
    <w:rsid w:val="00B87C02"/>
    <w:rsid w:val="00B90239"/>
    <w:rsid w:val="00B917F7"/>
    <w:rsid w:val="00B91E8C"/>
    <w:rsid w:val="00B95815"/>
    <w:rsid w:val="00BA0224"/>
    <w:rsid w:val="00BA03D6"/>
    <w:rsid w:val="00BA11E9"/>
    <w:rsid w:val="00BA2153"/>
    <w:rsid w:val="00BB3DA6"/>
    <w:rsid w:val="00BB5645"/>
    <w:rsid w:val="00BB572F"/>
    <w:rsid w:val="00BC4F86"/>
    <w:rsid w:val="00BC6C7D"/>
    <w:rsid w:val="00BC768F"/>
    <w:rsid w:val="00BC7DCE"/>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146DB"/>
    <w:rsid w:val="00C15F65"/>
    <w:rsid w:val="00C17EE5"/>
    <w:rsid w:val="00C2202D"/>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39D5"/>
    <w:rsid w:val="00C84902"/>
    <w:rsid w:val="00C90860"/>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2A8"/>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3846"/>
    <w:rsid w:val="00D75F27"/>
    <w:rsid w:val="00D76012"/>
    <w:rsid w:val="00D82401"/>
    <w:rsid w:val="00D8339F"/>
    <w:rsid w:val="00D85EB2"/>
    <w:rsid w:val="00D8619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57E"/>
    <w:rsid w:val="00DF3379"/>
    <w:rsid w:val="00DF380E"/>
    <w:rsid w:val="00DF4EF0"/>
    <w:rsid w:val="00E00976"/>
    <w:rsid w:val="00E021DF"/>
    <w:rsid w:val="00E04DC8"/>
    <w:rsid w:val="00E05C3B"/>
    <w:rsid w:val="00E07318"/>
    <w:rsid w:val="00E07962"/>
    <w:rsid w:val="00E10DA6"/>
    <w:rsid w:val="00E10F96"/>
    <w:rsid w:val="00E144B9"/>
    <w:rsid w:val="00E14562"/>
    <w:rsid w:val="00E21C97"/>
    <w:rsid w:val="00E2285C"/>
    <w:rsid w:val="00E27168"/>
    <w:rsid w:val="00E32841"/>
    <w:rsid w:val="00E33F98"/>
    <w:rsid w:val="00E35746"/>
    <w:rsid w:val="00E41884"/>
    <w:rsid w:val="00E41F0F"/>
    <w:rsid w:val="00E4347D"/>
    <w:rsid w:val="00E43ECC"/>
    <w:rsid w:val="00E50D40"/>
    <w:rsid w:val="00E50EB3"/>
    <w:rsid w:val="00E544DA"/>
    <w:rsid w:val="00E54DD9"/>
    <w:rsid w:val="00E55A0A"/>
    <w:rsid w:val="00E6403D"/>
    <w:rsid w:val="00E6449D"/>
    <w:rsid w:val="00E70193"/>
    <w:rsid w:val="00E71828"/>
    <w:rsid w:val="00E728D3"/>
    <w:rsid w:val="00E74A23"/>
    <w:rsid w:val="00E76BAB"/>
    <w:rsid w:val="00E77455"/>
    <w:rsid w:val="00E81A0F"/>
    <w:rsid w:val="00E845CA"/>
    <w:rsid w:val="00E86246"/>
    <w:rsid w:val="00E87640"/>
    <w:rsid w:val="00E92549"/>
    <w:rsid w:val="00EA61A4"/>
    <w:rsid w:val="00EB04B4"/>
    <w:rsid w:val="00EB5DC6"/>
    <w:rsid w:val="00EC197A"/>
    <w:rsid w:val="00EC1F7C"/>
    <w:rsid w:val="00EC2763"/>
    <w:rsid w:val="00ED36A3"/>
    <w:rsid w:val="00ED548F"/>
    <w:rsid w:val="00ED5EE9"/>
    <w:rsid w:val="00EE2726"/>
    <w:rsid w:val="00EE3C43"/>
    <w:rsid w:val="00EF352D"/>
    <w:rsid w:val="00EF4076"/>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47289"/>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C7324"/>
    <w:rsid w:val="00FD1705"/>
    <w:rsid w:val="00FD43F4"/>
    <w:rsid w:val="00FD6DA9"/>
    <w:rsid w:val="00FE1EC2"/>
    <w:rsid w:val="00FE2E42"/>
    <w:rsid w:val="00FE3392"/>
    <w:rsid w:val="00FE4A91"/>
    <w:rsid w:val="00FE4F67"/>
    <w:rsid w:val="00FF010F"/>
    <w:rsid w:val="00FF15ED"/>
    <w:rsid w:val="00FF1E54"/>
    <w:rsid w:val="00FF2973"/>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261186772">
      <w:bodyDiv w:val="1"/>
      <w:marLeft w:val="0"/>
      <w:marRight w:val="0"/>
      <w:marTop w:val="0"/>
      <w:marBottom w:val="0"/>
      <w:divBdr>
        <w:top w:val="none" w:sz="0" w:space="0" w:color="auto"/>
        <w:left w:val="none" w:sz="0" w:space="0" w:color="auto"/>
        <w:bottom w:val="none" w:sz="0" w:space="0" w:color="auto"/>
        <w:right w:val="none" w:sz="0" w:space="0" w:color="auto"/>
      </w:divBdr>
    </w:div>
    <w:div w:id="315039088">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914464614">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2003/rep/2003_1_130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00AF-42A0-4E51-8918-74A87C58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2020</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2023-09-29T10:23:00Z</cp:lastPrinted>
  <dcterms:created xsi:type="dcterms:W3CDTF">2023-10-02T09:27:00Z</dcterms:created>
  <dcterms:modified xsi:type="dcterms:W3CDTF">2023-10-02T09:27:00Z</dcterms:modified>
</cp:coreProperties>
</file>